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eastAsia" w:ascii="Times New Roman" w:hAnsi="Times New Roman" w:eastAsia="仿宋_GB2312" w:cs="仿宋_GB2312"/>
          <w:b w:val="0"/>
          <w:bCs w:val="0"/>
          <w:color w:val="FF0000"/>
          <w:sz w:val="32"/>
          <w:szCs w:val="32"/>
          <w:highlight w:val="none"/>
        </w:rPr>
      </w:pPr>
      <w:r>
        <w:rPr>
          <w:rFonts w:hint="eastAsia" w:ascii="Times New Roman" w:hAnsi="Times New Roman" w:eastAsia="仿宋_GB2312" w:cs="仿宋_GB2312"/>
          <w:b w:val="0"/>
          <w:bCs w:val="0"/>
          <w:color w:val="auto"/>
          <w:sz w:val="32"/>
          <w:szCs w:val="32"/>
          <w:highlight w:val="none"/>
        </w:rPr>
        <w:t>惠</w:t>
      </w:r>
      <w:r>
        <w:rPr>
          <w:rFonts w:hint="eastAsia" w:ascii="Times New Roman" w:hAnsi="Times New Roman" w:eastAsia="仿宋_GB2312" w:cs="仿宋_GB2312"/>
          <w:b w:val="0"/>
          <w:bCs w:val="0"/>
          <w:color w:val="auto"/>
          <w:sz w:val="32"/>
          <w:szCs w:val="32"/>
          <w:highlight w:val="none"/>
          <w:lang w:val="en-US" w:eastAsia="zh-CN"/>
        </w:rPr>
        <w:t>仲土挂告</w:t>
      </w: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202</w:t>
      </w:r>
      <w:r>
        <w:rPr>
          <w:rFonts w:hint="eastAsia" w:eastAsia="仿宋_GB2312"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rPr>
        <w:t>]0</w:t>
      </w:r>
      <w:r>
        <w:rPr>
          <w:rFonts w:hint="eastAsia" w:eastAsia="仿宋_GB2312" w:cs="仿宋_GB2312"/>
          <w:b w:val="0"/>
          <w:bCs w:val="0"/>
          <w:color w:val="auto"/>
          <w:sz w:val="32"/>
          <w:szCs w:val="32"/>
          <w:highlight w:val="none"/>
          <w:lang w:val="en-US" w:eastAsia="zh-CN"/>
        </w:rPr>
        <w:t>02</w:t>
      </w:r>
      <w:r>
        <w:rPr>
          <w:rFonts w:hint="eastAsia" w:ascii="Times New Roman" w:hAnsi="Times New Roman" w:eastAsia="仿宋_GB2312" w:cs="仿宋_GB2312"/>
          <w:b w:val="0"/>
          <w:bCs w:val="0"/>
          <w:color w:val="auto"/>
          <w:sz w:val="32"/>
          <w:szCs w:val="32"/>
          <w:highlight w:val="none"/>
        </w:rPr>
        <w:t>号</w:t>
      </w:r>
    </w:p>
    <w:p>
      <w:pPr>
        <w:keepNext w:val="0"/>
        <w:keepLines w:val="0"/>
        <w:pageBreakBefore w:val="0"/>
        <w:kinsoku/>
        <w:wordWrap/>
        <w:overflowPunct/>
        <w:topLinePunct w:val="0"/>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根据《招标拍卖挂牌出让国有建设用地使用权规定》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国土资源部令第39号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和《广东省土地使用权交易市场管理规定》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广东省人民政府令第79号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的规定，经批准，</w:t>
      </w:r>
      <w:r>
        <w:rPr>
          <w:rFonts w:hint="eastAsia" w:ascii="Times New Roman" w:hAnsi="Times New Roman" w:eastAsia="仿宋_GB2312" w:cs="仿宋_GB2312"/>
          <w:b w:val="0"/>
          <w:bCs w:val="0"/>
          <w:color w:val="auto"/>
          <w:sz w:val="32"/>
          <w:szCs w:val="32"/>
          <w:highlight w:val="none"/>
          <w:lang w:eastAsia="zh-CN"/>
        </w:rPr>
        <w:t>我</w:t>
      </w:r>
      <w:r>
        <w:rPr>
          <w:rFonts w:hint="eastAsia" w:ascii="Times New Roman" w:hAnsi="Times New Roman" w:eastAsia="仿宋_GB2312" w:cs="仿宋_GB2312"/>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rPr>
        <w:t>挂牌起始价及</w:t>
      </w:r>
      <w:r>
        <w:rPr>
          <w:rFonts w:hint="eastAsia" w:ascii="Times New Roman" w:hAnsi="Times New Roman" w:eastAsia="仿宋_GB2312" w:cs="仿宋_GB2312"/>
          <w:b w:val="0"/>
          <w:bCs w:val="0"/>
          <w:color w:val="auto"/>
          <w:sz w:val="32"/>
          <w:szCs w:val="32"/>
          <w:highlight w:val="none"/>
          <w:lang w:val="en-US" w:eastAsia="zh-CN"/>
        </w:rPr>
        <w:t>增</w:t>
      </w:r>
      <w:r>
        <w:rPr>
          <w:rFonts w:hint="eastAsia" w:ascii="Times New Roman" w:hAnsi="Times New Roman" w:eastAsia="仿宋_GB2312" w:cs="仿宋_GB2312"/>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挂牌起始价为人民币</w:t>
      </w:r>
      <w:r>
        <w:rPr>
          <w:rFonts w:hint="eastAsia" w:eastAsia="仿宋_GB2312" w:cs="仿宋_GB2312"/>
          <w:b w:val="0"/>
          <w:bCs w:val="0"/>
          <w:color w:val="auto"/>
          <w:sz w:val="32"/>
          <w:szCs w:val="32"/>
          <w:highlight w:val="none"/>
          <w:lang w:val="en-US" w:eastAsia="zh-CN"/>
        </w:rPr>
        <w:t>58221</w:t>
      </w:r>
      <w:r>
        <w:rPr>
          <w:rFonts w:hint="eastAsia" w:ascii="Times New Roman" w:hAnsi="Times New Roman" w:eastAsia="仿宋_GB2312" w:cs="仿宋_GB2312"/>
          <w:b w:val="0"/>
          <w:bCs w:val="0"/>
          <w:color w:val="auto"/>
          <w:sz w:val="32"/>
          <w:szCs w:val="32"/>
          <w:highlight w:val="none"/>
        </w:rPr>
        <w:t>万元,每次报价</w:t>
      </w:r>
      <w:r>
        <w:rPr>
          <w:rFonts w:hint="eastAsia" w:ascii="Times New Roman" w:hAnsi="Times New Roman" w:eastAsia="仿宋_GB2312" w:cs="仿宋_GB2312"/>
          <w:b w:val="0"/>
          <w:bCs w:val="0"/>
          <w:color w:val="auto"/>
          <w:sz w:val="32"/>
          <w:szCs w:val="32"/>
          <w:highlight w:val="none"/>
          <w:lang w:val="en-US" w:eastAsia="zh-CN"/>
        </w:rPr>
        <w:t>增</w:t>
      </w:r>
      <w:r>
        <w:rPr>
          <w:rFonts w:hint="eastAsia" w:ascii="Times New Roman" w:hAnsi="Times New Roman" w:eastAsia="仿宋_GB2312" w:cs="仿宋_GB2312"/>
          <w:b w:val="0"/>
          <w:bCs w:val="0"/>
          <w:color w:val="auto"/>
          <w:sz w:val="32"/>
          <w:szCs w:val="32"/>
          <w:highlight w:val="none"/>
        </w:rPr>
        <w:t>价幅度为人民币</w:t>
      </w:r>
      <w:r>
        <w:rPr>
          <w:rFonts w:hint="eastAsia" w:eastAsia="仿宋_GB2312" w:cs="仿宋_GB2312"/>
          <w:b w:val="0"/>
          <w:bCs w:val="0"/>
          <w:color w:val="auto"/>
          <w:sz w:val="32"/>
          <w:szCs w:val="32"/>
          <w:highlight w:val="none"/>
          <w:lang w:val="en-US" w:eastAsia="zh-CN"/>
        </w:rPr>
        <w:t>800</w:t>
      </w:r>
      <w:r>
        <w:rPr>
          <w:rFonts w:hint="eastAsia" w:ascii="Times New Roman" w:hAnsi="Times New Roman" w:eastAsia="仿宋_GB2312" w:cs="仿宋_GB2312"/>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三、时间安排</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（一）公告时间：2023年</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21</w:t>
      </w:r>
      <w:r>
        <w:rPr>
          <w:rFonts w:hint="eastAsia" w:ascii="Times New Roman" w:hAnsi="Times New Roman" w:eastAsia="仿宋_GB2312" w:cs="仿宋_GB2312"/>
          <w:sz w:val="32"/>
          <w:szCs w:val="32"/>
        </w:rPr>
        <w:t>日至2023年</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13</w:t>
      </w:r>
      <w:r>
        <w:rPr>
          <w:rFonts w:hint="eastAsia" w:ascii="Times New Roman" w:hAnsi="Times New Roman" w:eastAsia="仿宋_GB2312" w:cs="仿宋_GB2312"/>
          <w:sz w:val="32"/>
          <w:szCs w:val="32"/>
        </w:rPr>
        <w:t>日。</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（二）网上挂牌竞买时间：2023年</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13</w:t>
      </w:r>
      <w:r>
        <w:rPr>
          <w:rFonts w:hint="eastAsia" w:ascii="Times New Roman" w:hAnsi="Times New Roman" w:eastAsia="仿宋_GB2312" w:cs="仿宋_GB2312"/>
          <w:sz w:val="32"/>
          <w:szCs w:val="32"/>
        </w:rPr>
        <w:t>日9时至2023年</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27</w:t>
      </w:r>
      <w:r>
        <w:rPr>
          <w:rFonts w:hint="eastAsia" w:ascii="Times New Roman" w:hAnsi="Times New Roman" w:eastAsia="仿宋_GB2312" w:cs="仿宋_GB2312"/>
          <w:sz w:val="32"/>
          <w:szCs w:val="32"/>
        </w:rPr>
        <w:t>日10时。</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（三）竞买保证金到账截止时间为：2023年</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27</w:t>
      </w:r>
      <w:r>
        <w:rPr>
          <w:rFonts w:hint="eastAsia" w:ascii="Times New Roman" w:hAnsi="Times New Roman" w:eastAsia="仿宋_GB2312" w:cs="仿宋_GB2312"/>
          <w:sz w:val="32"/>
          <w:szCs w:val="32"/>
        </w:rPr>
        <w:t>日9时。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四、竞买资格及要求</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（一）缴交竞买保证金</w:t>
      </w:r>
      <w:r>
        <w:rPr>
          <w:rFonts w:hint="eastAsia" w:eastAsia="仿宋_GB2312" w:cs="仿宋_GB2312"/>
          <w:b w:val="0"/>
          <w:bCs w:val="0"/>
          <w:color w:val="auto"/>
          <w:sz w:val="32"/>
          <w:szCs w:val="32"/>
          <w:highlight w:val="none"/>
          <w:lang w:val="en-US" w:eastAsia="zh-CN"/>
        </w:rPr>
        <w:t>29110</w:t>
      </w:r>
      <w:r>
        <w:rPr>
          <w:rFonts w:hint="eastAsia" w:ascii="Times New Roman" w:hAnsi="Times New Roman" w:eastAsia="仿宋_GB2312" w:cs="仿宋_GB2312"/>
          <w:b w:val="0"/>
          <w:bCs w:val="0"/>
          <w:color w:val="auto"/>
          <w:sz w:val="32"/>
          <w:szCs w:val="32"/>
          <w:highlight w:val="none"/>
          <w:lang w:eastAsia="zh-CN"/>
        </w:rPr>
        <w:t>万元人民币；</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bookmarkStart w:id="0" w:name="bookmark11"/>
      <w:r>
        <w:rPr>
          <w:rFonts w:hint="default" w:ascii="Times New Roman" w:hAnsi="Times New Roman" w:eastAsia="仿宋_GB2312" w:cs="Times New Roman"/>
          <w:color w:val="000000"/>
          <w:spacing w:val="0"/>
          <w:w w:val="100"/>
          <w:position w:val="0"/>
          <w:sz w:val="32"/>
          <w:szCs w:val="32"/>
          <w:highlight w:val="none"/>
        </w:rPr>
        <w:t>（</w:t>
      </w:r>
      <w:bookmarkEnd w:id="0"/>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r>
        <w:rPr>
          <w:rFonts w:hint="eastAsia" w:eastAsia="仿宋_GB2312" w:cs="Times New Roman"/>
          <w:color w:val="000000"/>
          <w:spacing w:val="0"/>
          <w:w w:val="100"/>
          <w:position w:val="0"/>
          <w:sz w:val="32"/>
          <w:szCs w:val="32"/>
          <w:highlight w:val="none"/>
          <w:lang w:eastAsia="zh-CN"/>
        </w:rPr>
        <w:t>；</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竞买申请人须具备房地产开发资质</w:t>
      </w:r>
      <w:r>
        <w:rPr>
          <w:rFonts w:hint="eastAsia" w:ascii="Times New Roman" w:hAnsi="Times New Roman" w:eastAsia="仿宋_GB2312" w:cs="仿宋_GB2312"/>
          <w:b w:val="0"/>
          <w:bCs w:val="0"/>
          <w:color w:val="auto"/>
          <w:sz w:val="32"/>
          <w:szCs w:val="32"/>
          <w:highlight w:val="none"/>
          <w:lang w:eastAsia="zh-CN"/>
        </w:rPr>
        <w:t>（或者具备住建部门出具的房地产开发企业资质的核准意见）</w:t>
      </w:r>
      <w:r>
        <w:rPr>
          <w:rFonts w:hint="eastAsia" w:ascii="Times New Roman" w:hAnsi="Times New Roman" w:eastAsia="仿宋_GB2312" w:cs="仿宋_GB2312"/>
          <w:b w:val="0"/>
          <w:bCs w:val="0"/>
          <w:color w:val="auto"/>
          <w:sz w:val="32"/>
          <w:szCs w:val="32"/>
          <w:highlight w:val="none"/>
          <w:lang w:val="en-US" w:eastAsia="zh-CN"/>
        </w:rPr>
        <w:t>，且同一企业及控股公司只允许一家企业参与竞买。</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Times New Roman" w:hAnsi="Times New Roman"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（一）地块竞价溢价达到总地价66954万元时，转为采用摇号方式确定竞得人；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Times New Roman" w:hAnsi="Times New Roman"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（二）该地块所建商品住房单套毛坯住房最高销售单价</w:t>
      </w:r>
      <w:r>
        <w:rPr>
          <w:rFonts w:hint="eastAsia" w:ascii="Times New Roman" w:hAnsi="Times New Roman" w:cs="Times New Roman"/>
          <w:bCs/>
          <w:szCs w:val="32"/>
          <w:highlight w:val="none"/>
          <w:lang w:val="en-US" w:eastAsia="zh-CN"/>
        </w:rPr>
        <w:t>13599</w:t>
      </w:r>
      <w:r>
        <w:rPr>
          <w:rFonts w:hint="eastAsia" w:ascii="Times New Roman" w:hAnsi="Times New Roman" w:cs="仿宋_GB2312"/>
          <w:b w:val="0"/>
          <w:bCs w:val="0"/>
          <w:color w:val="auto"/>
          <w:sz w:val="32"/>
          <w:szCs w:val="32"/>
          <w:highlight w:val="none"/>
          <w:lang w:val="en-US" w:eastAsia="zh-CN"/>
        </w:rPr>
        <w:t>元/㎡；</w:t>
      </w:r>
    </w:p>
    <w:p>
      <w:pPr>
        <w:pStyle w:val="2"/>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eastAsia="仿宋_GB2312" w:cs="Times New Roman"/>
          <w:bCs/>
          <w:szCs w:val="32"/>
          <w:highlight w:val="none"/>
          <w:lang w:eastAsia="zh-CN"/>
        </w:rPr>
      </w:pPr>
      <w:r>
        <w:rPr>
          <w:rFonts w:hint="default"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highlight w:val="none"/>
          <w:lang w:val="en-US" w:eastAsia="zh-CN"/>
        </w:rPr>
        <w:t>三</w:t>
      </w:r>
      <w:r>
        <w:rPr>
          <w:rFonts w:hint="default" w:ascii="Times New Roman" w:hAnsi="Times New Roman" w:eastAsia="仿宋_GB2312" w:cs="Times New Roman"/>
          <w:bCs/>
          <w:szCs w:val="32"/>
          <w:highlight w:val="none"/>
          <w:lang w:eastAsia="zh-CN"/>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2"/>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eastAsia="仿宋_GB2312" w:cs="Times New Roman"/>
          <w:bCs/>
          <w:szCs w:val="32"/>
        </w:rPr>
      </w:pPr>
      <w:r>
        <w:rPr>
          <w:rFonts w:hint="eastAsia" w:ascii="Times New Roman" w:hAnsi="Times New Roman" w:eastAsia="仿宋_GB2312" w:cs="Times New Roman"/>
          <w:bCs/>
          <w:szCs w:val="32"/>
          <w:highlight w:val="none"/>
          <w:lang w:eastAsia="zh-CN"/>
        </w:rPr>
        <w:t>（</w:t>
      </w:r>
      <w:r>
        <w:rPr>
          <w:rFonts w:hint="eastAsia" w:ascii="Times New Roman" w:hAnsi="Times New Roman" w:eastAsia="仿宋_GB2312" w:cs="Times New Roman"/>
          <w:bCs/>
          <w:szCs w:val="32"/>
          <w:highlight w:val="none"/>
          <w:lang w:val="en-US" w:eastAsia="zh-CN"/>
        </w:rPr>
        <w:t>四</w:t>
      </w:r>
      <w:r>
        <w:rPr>
          <w:rFonts w:hint="eastAsia"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rPr>
        <w:t>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eastAsia"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r>
        <w:rPr>
          <w:rFonts w:hint="eastAsia" w:ascii="Times New Roman" w:hAnsi="Times New Roman" w:cs="Times New Roman"/>
          <w:b w:val="0"/>
          <w:bCs w:val="0"/>
          <w:color w:val="auto"/>
          <w:sz w:val="32"/>
          <w:szCs w:val="32"/>
          <w:highlight w:val="none"/>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Cs/>
          <w:szCs w:val="32"/>
          <w:highlight w:val="none"/>
          <w:lang w:eastAsia="zh-CN"/>
        </w:rPr>
      </w:pPr>
      <w:r>
        <w:rPr>
          <w:rFonts w:hint="default" w:ascii="Times New Roman" w:hAnsi="Times New Roman" w:cs="Times New Roman"/>
          <w:b w:val="0"/>
          <w:bCs w:val="0"/>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六</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Cs/>
          <w:kern w:val="0"/>
          <w:sz w:val="32"/>
          <w:szCs w:val="32"/>
          <w:lang w:val="en-US" w:eastAsia="zh-CN"/>
        </w:rPr>
        <w:t>为推进住宅区养老服务设施建设，竞得人须配建老人日间照料中心，建成后无偿移交给</w:t>
      </w:r>
      <w:r>
        <w:rPr>
          <w:rFonts w:hint="eastAsia" w:ascii="Times New Roman" w:hAnsi="Times New Roman" w:eastAsia="仿宋_GB2312" w:cs="Times New Roman"/>
          <w:bCs/>
          <w:kern w:val="0"/>
          <w:sz w:val="32"/>
          <w:szCs w:val="32"/>
          <w:lang w:val="en-US" w:eastAsia="zh-CN"/>
        </w:rPr>
        <w:t>仲恺高新区社会事务局</w:t>
      </w:r>
      <w:r>
        <w:rPr>
          <w:rFonts w:hint="default" w:ascii="Times New Roman" w:hAnsi="Times New Roman" w:eastAsia="仿宋_GB2312" w:cs="Times New Roman"/>
          <w:bCs/>
          <w:kern w:val="0"/>
          <w:sz w:val="32"/>
          <w:szCs w:val="32"/>
          <w:lang w:val="en-US" w:eastAsia="zh-CN"/>
        </w:rPr>
        <w:t>；由</w:t>
      </w:r>
      <w:r>
        <w:rPr>
          <w:rFonts w:hint="eastAsia" w:ascii="Times New Roman" w:hAnsi="Times New Roman" w:eastAsia="仿宋_GB2312" w:cs="Times New Roman"/>
          <w:bCs/>
          <w:kern w:val="0"/>
          <w:sz w:val="32"/>
          <w:szCs w:val="32"/>
          <w:lang w:val="en-US" w:eastAsia="zh-CN"/>
        </w:rPr>
        <w:t>仲恺高新区社会事务局</w:t>
      </w:r>
      <w:r>
        <w:rPr>
          <w:rFonts w:hint="default" w:ascii="Times New Roman" w:hAnsi="Times New Roman" w:eastAsia="仿宋_GB2312" w:cs="Times New Roman"/>
          <w:bCs/>
          <w:kern w:val="0"/>
          <w:sz w:val="32"/>
          <w:szCs w:val="32"/>
          <w:lang w:val="en-US" w:eastAsia="zh-CN"/>
        </w:rPr>
        <w:t>负责提供老人日间照料中心建设标准、审定建设方案，并</w:t>
      </w:r>
      <w:r>
        <w:rPr>
          <w:rFonts w:hint="eastAsia" w:ascii="Times New Roman" w:hAnsi="Times New Roman" w:cs="Times New Roman"/>
          <w:bCs/>
          <w:kern w:val="0"/>
          <w:sz w:val="32"/>
          <w:szCs w:val="32"/>
          <w:lang w:val="en-US" w:eastAsia="zh-CN"/>
        </w:rPr>
        <w:t>与</w:t>
      </w:r>
      <w:r>
        <w:rPr>
          <w:rFonts w:hint="eastAsia" w:ascii="Times New Roman" w:hAnsi="Times New Roman" w:eastAsia="仿宋_GB2312" w:cs="Times New Roman"/>
          <w:bCs/>
          <w:kern w:val="0"/>
          <w:sz w:val="32"/>
          <w:szCs w:val="32"/>
          <w:lang w:val="en-US" w:eastAsia="zh-CN"/>
        </w:rPr>
        <w:t>竞得人</w:t>
      </w:r>
      <w:r>
        <w:rPr>
          <w:rFonts w:hint="default" w:ascii="Times New Roman" w:hAnsi="Times New Roman" w:eastAsia="仿宋_GB2312" w:cs="Times New Roman"/>
          <w:bCs/>
          <w:kern w:val="0"/>
          <w:sz w:val="32"/>
          <w:szCs w:val="32"/>
          <w:lang w:val="en-US" w:eastAsia="zh-CN"/>
        </w:rPr>
        <w:t>签订老人日间照料中心配建及监管协议</w:t>
      </w:r>
      <w:r>
        <w:rPr>
          <w:rFonts w:hint="eastAsia" w:ascii="Times New Roman" w:hAnsi="Times New Roman" w:cs="Times New Roman"/>
          <w:bCs/>
          <w:kern w:val="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cs="仿宋_GB2312"/>
          <w:b w:val="0"/>
          <w:bCs w:val="0"/>
          <w:color w:val="auto"/>
          <w:sz w:val="32"/>
          <w:szCs w:val="32"/>
          <w:highlight w:val="none"/>
          <w:lang w:val="en-US" w:eastAsia="zh-CN"/>
        </w:rPr>
        <w:t>六、</w:t>
      </w:r>
      <w:r>
        <w:rPr>
          <w:rFonts w:hint="eastAsia" w:ascii="Times New Roman" w:hAnsi="Times New Roman" w:eastAsia="仿宋_GB2312" w:cs="仿宋_GB2312"/>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cs="仿宋_GB2312"/>
          <w:b w:val="0"/>
          <w:bCs w:val="0"/>
          <w:color w:val="auto"/>
          <w:sz w:val="32"/>
          <w:szCs w:val="32"/>
          <w:highlight w:val="none"/>
          <w:lang w:val="en-US" w:eastAsia="zh-CN"/>
        </w:rPr>
        <w:t>一</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该宗地竞买保证金为人民币</w:t>
      </w:r>
      <w:r>
        <w:rPr>
          <w:rFonts w:hint="eastAsia" w:ascii="Times New Roman" w:hAnsi="Times New Roman" w:cs="仿宋_GB2312"/>
          <w:b w:val="0"/>
          <w:bCs w:val="0"/>
          <w:color w:val="auto"/>
          <w:sz w:val="32"/>
          <w:szCs w:val="32"/>
          <w:highlight w:val="none"/>
          <w:lang w:val="en-US" w:eastAsia="zh-CN"/>
        </w:rPr>
        <w:t>29110</w:t>
      </w:r>
      <w:r>
        <w:rPr>
          <w:rFonts w:hint="eastAsia" w:ascii="Times New Roman" w:hAnsi="Times New Roman" w:eastAsia="仿宋_GB2312" w:cs="仿宋_GB2312"/>
          <w:b w:val="0"/>
          <w:bCs w:val="0"/>
          <w:color w:val="auto"/>
          <w:sz w:val="32"/>
          <w:szCs w:val="32"/>
          <w:highlight w:val="none"/>
        </w:rPr>
        <w:t>万元</w:t>
      </w:r>
      <w:r>
        <w:rPr>
          <w:rFonts w:hint="eastAsia" w:ascii="Times New Roman" w:hAnsi="Times New Roman" w:cs="仿宋_GB2312"/>
          <w:b w:val="0"/>
          <w:bCs w:val="0"/>
          <w:color w:val="auto"/>
          <w:sz w:val="32"/>
          <w:szCs w:val="32"/>
          <w:highlight w:val="none"/>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 w:name="bookmark19"/>
      <w:r>
        <w:rPr>
          <w:rFonts w:hint="default" w:ascii="Times New Roman" w:hAnsi="Times New Roman" w:eastAsia="仿宋_GB2312" w:cs="Times New Roman"/>
          <w:color w:val="000000"/>
          <w:spacing w:val="0"/>
          <w:w w:val="100"/>
          <w:position w:val="0"/>
          <w:sz w:val="32"/>
          <w:szCs w:val="32"/>
          <w:highlight w:val="none"/>
        </w:rPr>
        <w:t>（</w:t>
      </w:r>
      <w:bookmarkEnd w:id="1"/>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 w:name="bookmark20"/>
      <w:r>
        <w:rPr>
          <w:rFonts w:hint="default" w:ascii="Times New Roman" w:hAnsi="Times New Roman" w:eastAsia="仿宋_GB2312" w:cs="Times New Roman"/>
          <w:color w:val="000000"/>
          <w:spacing w:val="0"/>
          <w:w w:val="100"/>
          <w:position w:val="0"/>
          <w:sz w:val="32"/>
          <w:szCs w:val="32"/>
          <w:highlight w:val="none"/>
        </w:rPr>
        <w:t>（</w:t>
      </w:r>
      <w:bookmarkEnd w:id="2"/>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七、</w:t>
      </w:r>
      <w:r>
        <w:rPr>
          <w:rFonts w:hint="eastAsia" w:ascii="Times New Roman" w:hAnsi="Times New Roman"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eastAsia" w:ascii="Times New Roman" w:hAnsi="Times New Roman" w:eastAsia="仿宋_GB2312" w:cs="仿宋_GB2312"/>
          <w:b w:val="0"/>
          <w:bCs w:val="0"/>
          <w:color w:val="auto"/>
          <w:sz w:val="32"/>
          <w:szCs w:val="32"/>
          <w:highlight w:val="none"/>
          <w:lang w:val="en-US" w:eastAsia="zh-CN"/>
        </w:rPr>
        <w:t>符合竞买资格要求并</w:t>
      </w:r>
      <w:r>
        <w:rPr>
          <w:rFonts w:hint="eastAsia" w:ascii="Times New Roman" w:hAnsi="Times New Roman" w:eastAsia="仿宋_GB2312" w:cs="仿宋_GB2312"/>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八、</w:t>
      </w:r>
      <w:r>
        <w:rPr>
          <w:rFonts w:hint="eastAsia" w:ascii="Times New Roman" w:hAnsi="Times New Roman" w:eastAsia="仿宋_GB2312" w:cs="仿宋_GB2312"/>
          <w:b w:val="0"/>
          <w:bCs w:val="0"/>
          <w:color w:val="auto"/>
          <w:sz w:val="32"/>
          <w:szCs w:val="32"/>
          <w:highlight w:val="none"/>
        </w:rPr>
        <w:t>竞买人电子报价</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电子限时竞价</w:t>
      </w:r>
      <w:r>
        <w:rPr>
          <w:rFonts w:hint="eastAsia" w:ascii="Times New Roman" w:hAnsi="Times New Roman" w:cs="仿宋_GB2312"/>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九、</w:t>
      </w:r>
      <w:r>
        <w:rPr>
          <w:rFonts w:hint="eastAsia" w:ascii="Times New Roman" w:hAnsi="Times New Roman" w:eastAsia="仿宋_GB2312" w:cs="仿宋_GB2312"/>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w:t>
      </w:r>
      <w:r>
        <w:rPr>
          <w:rFonts w:hint="eastAsia" w:ascii="Times New Roman" w:hAnsi="Times New Roman" w:eastAsia="仿宋_GB2312" w:cs="仿宋_GB2312"/>
          <w:b w:val="0"/>
          <w:bCs w:val="0"/>
          <w:color w:val="auto"/>
          <w:sz w:val="32"/>
          <w:szCs w:val="32"/>
          <w:highlight w:val="none"/>
          <w:lang w:eastAsia="zh-CN"/>
        </w:rPr>
        <w:t>宗</w:t>
      </w:r>
      <w:r>
        <w:rPr>
          <w:rFonts w:hint="eastAsia" w:ascii="Times New Roman" w:hAnsi="Times New Roman" w:eastAsia="仿宋_GB2312" w:cs="仿宋_GB2312"/>
          <w:b w:val="0"/>
          <w:bCs w:val="0"/>
          <w:color w:val="auto"/>
          <w:sz w:val="32"/>
          <w:szCs w:val="32"/>
          <w:highlight w:val="none"/>
        </w:rPr>
        <w:t>国有建设用地使用权网上挂牌出让为无底价挂牌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采取</w:t>
      </w:r>
      <w:r>
        <w:rPr>
          <w:rFonts w:hint="eastAsia" w:ascii="Times New Roman" w:hAnsi="Times New Roman" w:eastAsia="仿宋_GB2312" w:cs="仿宋_GB2312"/>
          <w:b w:val="0"/>
          <w:bCs/>
          <w:sz w:val="32"/>
          <w:szCs w:val="32"/>
          <w:lang w:eastAsia="zh-CN"/>
        </w:rPr>
        <w:t>“限地价、摇号”</w:t>
      </w:r>
      <w:r>
        <w:rPr>
          <w:rFonts w:hint="eastAsia" w:ascii="Times New Roman" w:hAnsi="Times New Roman" w:eastAsia="仿宋_GB2312" w:cs="仿宋_GB2312"/>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w:t>
      </w:r>
      <w:r>
        <w:rPr>
          <w:rFonts w:hint="eastAsia" w:ascii="Times New Roman" w:hAnsi="Times New Roman" w:eastAsia="仿宋_GB2312" w:cs="仿宋_GB2312"/>
          <w:b w:val="0"/>
          <w:bCs w:val="0"/>
          <w:color w:val="auto"/>
          <w:sz w:val="32"/>
          <w:szCs w:val="32"/>
          <w:highlight w:val="none"/>
        </w:rPr>
        <w:t>资格审查</w:t>
      </w:r>
    </w:p>
    <w:p>
      <w:pPr>
        <w:pStyle w:val="5"/>
        <w:spacing w:line="560" w:lineRule="exact"/>
        <w:ind w:firstLine="579" w:firstLineChars="181"/>
        <w:rPr>
          <w:rFonts w:ascii="Times New Roman" w:hAnsi="Times New Roman" w:eastAsia="仿宋_GB2312" w:cs="仿宋_GB2312"/>
          <w:sz w:val="32"/>
          <w:szCs w:val="32"/>
        </w:rPr>
      </w:pPr>
      <w:r>
        <w:rPr>
          <w:rFonts w:hint="eastAsia" w:ascii="Times New Roman" w:hAnsi="Times New Roman" w:eastAsia="仿宋_GB2312" w:cs="仿宋_GB2312"/>
          <w:sz w:val="32"/>
          <w:szCs w:val="32"/>
        </w:rPr>
        <w:t>成交候选人应在网上挂牌交易系统确定成交候选人之日起5个工作日内将竞买申请纸质材料提交至我局，由我局对竞买资格进行审查。我局将于</w:t>
      </w:r>
      <w:r>
        <w:rPr>
          <w:rFonts w:hint="eastAsia" w:ascii="Times New Roman" w:hAnsi="Times New Roman" w:eastAsia="仿宋_GB2312" w:cs="仿宋_GB2312"/>
          <w:sz w:val="32"/>
          <w:szCs w:val="32"/>
          <w:highlight w:val="none"/>
        </w:rPr>
        <w:t>202</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w:t>
      </w:r>
      <w:r>
        <w:rPr>
          <w:rFonts w:ascii="Times New Roman" w:hAnsi="Times New Roman" w:eastAsia="仿宋_GB2312" w:cs="仿宋_GB2312"/>
          <w:sz w:val="32"/>
          <w:szCs w:val="32"/>
          <w:highlight w:val="none"/>
        </w:rPr>
        <w:t>4</w:t>
      </w:r>
      <w:r>
        <w:rPr>
          <w:rFonts w:hint="eastAsia" w:ascii="Times New Roman" w:hAnsi="Times New Roman" w:eastAsia="仿宋_GB2312" w:cs="仿宋_GB2312"/>
          <w:sz w:val="32"/>
          <w:szCs w:val="32"/>
          <w:highlight w:val="none"/>
        </w:rPr>
        <w:t>月</w:t>
      </w:r>
      <w:r>
        <w:rPr>
          <w:rFonts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前确定符合竞买资格的成交候选人为竞得人。</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成交候选人资格审查须提交下列材料</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一式两份</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一</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《竞买申请书》（加盖公</w:t>
      </w:r>
      <w:bookmarkStart w:id="3" w:name="_GoBack"/>
      <w:bookmarkEnd w:id="3"/>
      <w:r>
        <w:rPr>
          <w:rFonts w:hint="eastAsia" w:ascii="Times New Roman" w:hAnsi="Times New Roman" w:eastAsia="仿宋_GB2312" w:cs="仿宋_GB2312"/>
          <w:b w:val="0"/>
          <w:bCs w:val="0"/>
          <w:color w:val="auto"/>
          <w:kern w:val="2"/>
          <w:sz w:val="32"/>
          <w:szCs w:val="32"/>
          <w:highlight w:val="none"/>
        </w:rPr>
        <w:t>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二</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《竞价结果通知书》（加盖公章）；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三</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《竞买保证金到账通知书》（加盖公章）；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四</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五</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六</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法定代表人身份证复印件（加盖公章）；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七</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rPr>
        <w:t>授权他人代理的授权委托书及代理人身份证复印件（核对原件）</w:t>
      </w:r>
      <w:r>
        <w:rPr>
          <w:rFonts w:hint="eastAsia" w:eastAsia="仿宋_GB2312" w:cs="仿宋_GB2312"/>
          <w:b w:val="0"/>
          <w:bCs w:val="0"/>
          <w:color w:val="auto"/>
          <w:kern w:val="2"/>
          <w:sz w:val="32"/>
          <w:szCs w:val="32"/>
          <w:highlight w:val="none"/>
          <w:lang w:eastAsia="zh-CN"/>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rPr>
      </w:pPr>
      <w:r>
        <w:rPr>
          <w:rFonts w:hint="eastAsia" w:ascii="Times New Roman" w:hAnsi="Times New Roman" w:eastAsia="仿宋_GB2312" w:cs="仿宋_GB2312"/>
          <w:b w:val="0"/>
          <w:bCs w:val="0"/>
          <w:color w:val="auto"/>
          <w:kern w:val="2"/>
          <w:sz w:val="32"/>
          <w:szCs w:val="32"/>
          <w:highlight w:val="none"/>
          <w:lang w:val="en-US" w:eastAsia="zh-CN"/>
        </w:rPr>
        <w:t>（八）房地产开发资质材料;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rPr>
      </w:pPr>
      <w:r>
        <w:rPr>
          <w:rFonts w:hint="eastAsia" w:ascii="Times New Roman" w:hAnsi="Times New Roman" w:eastAsia="仿宋_GB2312" w:cs="仿宋_GB2312"/>
          <w:b w:val="0"/>
          <w:bCs w:val="0"/>
          <w:color w:val="auto"/>
          <w:kern w:val="2"/>
          <w:sz w:val="32"/>
          <w:szCs w:val="32"/>
          <w:highlight w:val="none"/>
          <w:lang w:val="en-US" w:eastAsia="zh-CN"/>
        </w:rPr>
        <w:t>（九）购地资金来源承诺书</w:t>
      </w:r>
      <w:r>
        <w:rPr>
          <w:rFonts w:hint="eastAsia" w:eastAsia="仿宋_GB2312" w:cs="仿宋_GB2312"/>
          <w:b w:val="0"/>
          <w:bCs w:val="0"/>
          <w:color w:val="auto"/>
          <w:kern w:val="2"/>
          <w:sz w:val="32"/>
          <w:szCs w:val="32"/>
          <w:highlight w:val="none"/>
          <w:lang w:val="en-US" w:eastAsia="zh-CN"/>
        </w:rPr>
        <w:t>。</w:t>
      </w:r>
    </w:p>
    <w:p>
      <w:pPr>
        <w:keepNext w:val="0"/>
        <w:keepLines w:val="0"/>
        <w:pageBreakBefore w:val="0"/>
        <w:kinsoku/>
        <w:wordWrap/>
        <w:overflowPunct/>
        <w:topLinePunct w:val="0"/>
        <w:autoSpaceDE/>
        <w:autoSpaceDN/>
        <w:bidi w:val="0"/>
        <w:spacing w:line="520" w:lineRule="exact"/>
        <w:ind w:firstLine="555"/>
        <w:textAlignment w:val="auto"/>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十一、</w:t>
      </w:r>
      <w:r>
        <w:rPr>
          <w:rFonts w:hint="eastAsia" w:ascii="Times New Roman" w:hAnsi="Times New Roman" w:eastAsia="仿宋_GB2312" w:cs="仿宋_GB2312"/>
          <w:b w:val="0"/>
          <w:bCs w:val="0"/>
          <w:color w:val="auto"/>
          <w:sz w:val="32"/>
          <w:szCs w:val="32"/>
          <w:highlight w:val="none"/>
        </w:rPr>
        <w:t>签订成交确认书</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出让合同</w:t>
      </w:r>
      <w:r>
        <w:rPr>
          <w:rFonts w:hint="eastAsia" w:ascii="Times New Roman" w:hAnsi="Times New Roman" w:eastAsia="仿宋_GB2312" w:cs="仿宋_GB2312"/>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竞得人应在接到竞得人确定通知之日起</w:t>
      </w:r>
      <w:r>
        <w:rPr>
          <w:rFonts w:hint="eastAsia" w:ascii="Times New Roman" w:hAnsi="Times New Roman" w:eastAsia="仿宋_GB2312" w:cs="仿宋_GB2312"/>
          <w:b w:val="0"/>
          <w:bCs w:val="0"/>
          <w:color w:val="auto"/>
          <w:sz w:val="32"/>
          <w:szCs w:val="32"/>
          <w:highlight w:val="none"/>
          <w:u w:val="none"/>
          <w:lang w:val="en-US" w:eastAsia="zh-CN"/>
        </w:rPr>
        <w:t>2</w:t>
      </w:r>
      <w:r>
        <w:rPr>
          <w:rFonts w:hint="eastAsia" w:ascii="Times New Roman" w:hAnsi="Times New Roman" w:eastAsia="仿宋_GB2312" w:cs="仿宋_GB2312"/>
          <w:b w:val="0"/>
          <w:bCs w:val="0"/>
          <w:color w:val="auto"/>
          <w:sz w:val="32"/>
          <w:szCs w:val="32"/>
          <w:highlight w:val="none"/>
        </w:rPr>
        <w:t>个工作日内</w:t>
      </w:r>
      <w:r>
        <w:rPr>
          <w:rFonts w:hint="eastAsia" w:ascii="Times New Roman" w:hAnsi="Times New Roman" w:eastAsia="仿宋_GB2312" w:cs="仿宋_GB2312"/>
          <w:b w:val="0"/>
          <w:bCs w:val="0"/>
          <w:color w:val="auto"/>
          <w:sz w:val="32"/>
          <w:szCs w:val="32"/>
          <w:highlight w:val="none"/>
          <w:lang w:eastAsia="zh-CN"/>
        </w:rPr>
        <w:t>与我局、</w:t>
      </w:r>
      <w:r>
        <w:rPr>
          <w:rFonts w:hint="eastAsia" w:ascii="Times New Roman" w:hAnsi="Times New Roman" w:eastAsia="仿宋_GB2312" w:cs="仿宋_GB2312"/>
          <w:b w:val="0"/>
          <w:bCs w:val="0"/>
          <w:color w:val="auto"/>
          <w:sz w:val="32"/>
          <w:szCs w:val="32"/>
          <w:highlight w:val="none"/>
          <w:lang w:val="en-US" w:eastAsia="zh-CN"/>
        </w:rPr>
        <w:t>惠州市公共资源交易中心仲恺分中心</w:t>
      </w:r>
      <w:r>
        <w:rPr>
          <w:rFonts w:hint="eastAsia" w:ascii="Times New Roman" w:hAnsi="Times New Roman" w:eastAsia="仿宋_GB2312" w:cs="仿宋_GB2312"/>
          <w:b w:val="0"/>
          <w:bCs w:val="0"/>
          <w:color w:val="auto"/>
          <w:sz w:val="32"/>
          <w:szCs w:val="32"/>
          <w:highlight w:val="none"/>
        </w:rPr>
        <w:t>签订《成交确认书》，签订《成交确认书》之日起5个工作日内，须向</w:t>
      </w:r>
      <w:r>
        <w:rPr>
          <w:rFonts w:hint="eastAsia" w:ascii="Times New Roman" w:hAnsi="Times New Roman" w:eastAsia="仿宋_GB2312" w:cs="仿宋_GB2312"/>
          <w:b w:val="0"/>
          <w:bCs w:val="0"/>
          <w:color w:val="auto"/>
          <w:sz w:val="32"/>
          <w:szCs w:val="32"/>
          <w:highlight w:val="none"/>
          <w:lang w:val="en-US" w:eastAsia="zh-CN"/>
        </w:rPr>
        <w:t>我</w:t>
      </w:r>
      <w:r>
        <w:rPr>
          <w:rFonts w:hint="eastAsia" w:ascii="Times New Roman" w:hAnsi="Times New Roman" w:eastAsia="仿宋_GB2312" w:cs="仿宋_GB2312"/>
          <w:b w:val="0"/>
          <w:bCs w:val="0"/>
          <w:color w:val="auto"/>
          <w:sz w:val="32"/>
          <w:szCs w:val="32"/>
          <w:highlight w:val="none"/>
        </w:rPr>
        <w:t>局提交申请受让国有建设用地使用权的有关材料；签订《成交确认书》之日起10个工作日内，须与</w:t>
      </w:r>
      <w:r>
        <w:rPr>
          <w:rFonts w:hint="eastAsia" w:ascii="Times New Roman" w:hAnsi="Times New Roman" w:eastAsia="仿宋_GB2312" w:cs="仿宋_GB2312"/>
          <w:b w:val="0"/>
          <w:bCs w:val="0"/>
          <w:color w:val="auto"/>
          <w:sz w:val="32"/>
          <w:szCs w:val="32"/>
          <w:highlight w:val="none"/>
          <w:lang w:val="en-US" w:eastAsia="zh-CN"/>
        </w:rPr>
        <w:t>我局</w:t>
      </w:r>
      <w:r>
        <w:rPr>
          <w:rFonts w:hint="eastAsia" w:ascii="Times New Roman" w:hAnsi="Times New Roman" w:eastAsia="仿宋_GB2312" w:cs="仿宋_GB2312"/>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2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十二、</w:t>
      </w:r>
      <w:r>
        <w:rPr>
          <w:rFonts w:hint="eastAsia" w:ascii="Times New Roman" w:hAnsi="Times New Roman" w:eastAsia="仿宋_GB2312" w:cs="仿宋_GB2312"/>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三</w:t>
      </w:r>
      <w:r>
        <w:rPr>
          <w:rFonts w:hint="eastAsia" w:ascii="Times New Roman" w:hAnsi="Times New Roman"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四</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四</w:t>
      </w:r>
      <w:r>
        <w:rPr>
          <w:rFonts w:hint="eastAsia" w:ascii="Times New Roman" w:hAnsi="Times New Roman"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2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（二）有意竞买者可以自行到地块现场踏勘（可在网上挂牌交易系统查阅</w:t>
      </w:r>
      <w:r>
        <w:rPr>
          <w:rFonts w:hint="eastAsia" w:ascii="Times New Roman" w:hAnsi="Times New Roman" w:eastAsia="仿宋_GB2312" w:cs="仿宋_GB2312"/>
          <w:b w:val="0"/>
          <w:bCs w:val="0"/>
          <w:color w:val="auto"/>
          <w:sz w:val="32"/>
          <w:szCs w:val="32"/>
          <w:highlight w:val="none"/>
          <w:lang w:val="en-US" w:eastAsia="zh-CN"/>
        </w:rPr>
        <w:t>用地红线图</w:t>
      </w:r>
      <w:r>
        <w:rPr>
          <w:rFonts w:hint="eastAsia" w:ascii="Times New Roman" w:hAnsi="Times New Roman" w:eastAsia="仿宋_GB2312" w:cs="仿宋_GB2312"/>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2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2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（五）该宗地交易全程适用</w:t>
      </w:r>
      <w:r>
        <w:rPr>
          <w:rFonts w:hint="eastAsia" w:ascii="Times New Roman" w:hAnsi="Times New Roman" w:eastAsia="仿宋_GB2312" w:cs="仿宋_GB2312"/>
          <w:b w:val="0"/>
          <w:bCs w:val="0"/>
          <w:color w:val="auto"/>
          <w:sz w:val="32"/>
          <w:szCs w:val="32"/>
          <w:highlight w:val="none"/>
        </w:rPr>
        <w:t>《惠州市政务服务数据管理局</w:t>
      </w: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rPr>
        <w:t>惠州市公共资源交易中心公共资源电子交易规则》</w:t>
      </w:r>
      <w:r>
        <w:rPr>
          <w:rFonts w:hint="eastAsia" w:ascii="Times New Roman" w:hAnsi="Times New Roman" w:eastAsia="仿宋_GB2312" w:cs="仿宋_GB2312"/>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十五、</w:t>
      </w:r>
      <w:r>
        <w:rPr>
          <w:rFonts w:hint="eastAsia" w:ascii="Times New Roman" w:hAnsi="Times New Roman" w:eastAsia="仿宋_GB2312" w:cs="仿宋_GB2312"/>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Times New Roman" w:hAnsi="Times New Roman" w:eastAsia="仿宋_GB2312" w:cs="仿宋_GB2312"/>
          <w:b w:val="0"/>
          <w:bCs w:val="0"/>
          <w:color w:val="auto"/>
          <w:sz w:val="32"/>
          <w:szCs w:val="32"/>
          <w:highlight w:val="none"/>
          <w:u w:val="single"/>
        </w:rPr>
      </w:pPr>
      <w:r>
        <w:rPr>
          <w:rFonts w:hint="eastAsia" w:ascii="Times New Roman" w:hAnsi="Times New Roman" w:eastAsia="仿宋_GB2312" w:cs="仿宋_GB2312"/>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Times New Roman" w:hAnsi="Times New Roman" w:eastAsia="仿宋_GB2312" w:cs="仿宋_GB2312"/>
          <w:b w:val="0"/>
          <w:bCs w:val="0"/>
          <w:color w:val="auto"/>
          <w:sz w:val="32"/>
          <w:szCs w:val="32"/>
          <w:highlight w:val="none"/>
          <w:u w:val="single"/>
        </w:rPr>
      </w:pPr>
      <w:r>
        <w:rPr>
          <w:rFonts w:hint="eastAsia" w:ascii="Times New Roman" w:hAnsi="Times New Roman" w:eastAsia="仿宋_GB2312" w:cs="仿宋_GB2312"/>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rPr>
        <w:t>联系人：</w:t>
      </w:r>
      <w:r>
        <w:rPr>
          <w:rFonts w:hint="eastAsia" w:ascii="Times New Roman" w:hAnsi="Times New Roman" w:eastAsia="仿宋_GB2312" w:cs="仿宋_GB2312"/>
          <w:b w:val="0"/>
          <w:bCs w:val="0"/>
          <w:color w:val="auto"/>
          <w:sz w:val="32"/>
          <w:szCs w:val="32"/>
          <w:highlight w:val="none"/>
          <w:lang w:val="en-US" w:eastAsia="zh-CN"/>
        </w:rPr>
        <w:t>欧阳</w:t>
      </w:r>
      <w:r>
        <w:rPr>
          <w:rFonts w:hint="eastAsia" w:eastAsia="仿宋_GB2312" w:cs="仿宋_GB2312"/>
          <w:b w:val="0"/>
          <w:bCs w:val="0"/>
          <w:color w:val="auto"/>
          <w:sz w:val="32"/>
          <w:szCs w:val="32"/>
          <w:highlight w:val="none"/>
          <w:lang w:val="en-US" w:eastAsia="zh-CN"/>
        </w:rPr>
        <w:t>先生</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联系电话：</w:t>
      </w:r>
      <w:r>
        <w:rPr>
          <w:rFonts w:hint="eastAsia" w:ascii="Times New Roman" w:hAnsi="Times New Roman" w:eastAsia="仿宋_GB2312" w:cs="仿宋_GB2312"/>
          <w:b w:val="0"/>
          <w:bCs w:val="0"/>
          <w:color w:val="auto"/>
          <w:sz w:val="32"/>
          <w:szCs w:val="32"/>
          <w:highlight w:val="none"/>
          <w:lang w:val="en-US" w:eastAsia="en-US"/>
        </w:rPr>
        <w:t>0752-3271601</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交易机构：惠州市公共资源交易中心</w:t>
      </w:r>
      <w:r>
        <w:rPr>
          <w:rFonts w:hint="eastAsia" w:ascii="Times New Roman" w:hAnsi="Times New Roman" w:eastAsia="仿宋_GB2312" w:cs="仿宋_GB2312"/>
          <w:b w:val="0"/>
          <w:bCs w:val="0"/>
          <w:color w:val="auto"/>
          <w:sz w:val="32"/>
          <w:szCs w:val="32"/>
          <w:highlight w:val="none"/>
          <w:lang w:eastAsia="zh-CN"/>
        </w:rPr>
        <w:t>仲恺</w:t>
      </w:r>
      <w:r>
        <w:rPr>
          <w:rFonts w:hint="eastAsia" w:ascii="Times New Roman" w:hAnsi="Times New Roman" w:eastAsia="仿宋_GB2312" w:cs="仿宋_GB2312"/>
          <w:b w:val="0"/>
          <w:bCs w:val="0"/>
          <w:color w:val="auto"/>
          <w:sz w:val="32"/>
          <w:szCs w:val="32"/>
          <w:highlight w:val="none"/>
        </w:rPr>
        <w:t>分中心</w:t>
      </w:r>
    </w:p>
    <w:p>
      <w:pPr>
        <w:pStyle w:val="25"/>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sz w:val="32"/>
          <w:szCs w:val="32"/>
          <w:highlight w:val="none"/>
        </w:rPr>
        <w:t>联系地址：</w:t>
      </w:r>
      <w:r>
        <w:rPr>
          <w:rFonts w:hint="eastAsia" w:ascii="Times New Roman" w:hAnsi="Times New Roman" w:eastAsia="仿宋_GB2312" w:cs="仿宋_GB2312"/>
          <w:b w:val="0"/>
          <w:bCs w:val="0"/>
          <w:color w:val="auto"/>
          <w:kern w:val="0"/>
          <w:sz w:val="32"/>
          <w:szCs w:val="32"/>
          <w:highlight w:val="none"/>
        </w:rPr>
        <w:t>广东省惠州市仲恺高新区和畅五路人才服务</w:t>
      </w:r>
    </w:p>
    <w:p>
      <w:pPr>
        <w:pStyle w:val="25"/>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kern w:val="0"/>
          <w:sz w:val="32"/>
          <w:szCs w:val="32"/>
          <w:highlight w:val="none"/>
        </w:rPr>
        <w:t>大厦10楼</w:t>
      </w:r>
    </w:p>
    <w:p>
      <w:pPr>
        <w:pStyle w:val="25"/>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Times New Roman" w:hAnsi="Times New Roman" w:eastAsia="仿宋_GB2312" w:cs="仿宋_GB2312"/>
          <w:b w:val="0"/>
          <w:bCs w:val="0"/>
          <w:color w:val="auto"/>
          <w:sz w:val="32"/>
          <w:szCs w:val="32"/>
          <w:highlight w:val="none"/>
          <w:u w:val="single"/>
        </w:rPr>
      </w:pPr>
      <w:r>
        <w:rPr>
          <w:rFonts w:hint="eastAsia" w:ascii="Times New Roman" w:hAnsi="Times New Roman" w:eastAsia="仿宋_GB2312" w:cs="仿宋_GB2312"/>
          <w:b w:val="0"/>
          <w:bCs w:val="0"/>
          <w:color w:val="auto"/>
          <w:sz w:val="32"/>
          <w:szCs w:val="32"/>
          <w:highlight w:val="none"/>
        </w:rPr>
        <w:t>联系人：</w:t>
      </w:r>
      <w:r>
        <w:rPr>
          <w:rFonts w:hint="eastAsia" w:ascii="Times New Roman" w:hAnsi="Times New Roman" w:eastAsia="仿宋_GB2312" w:cs="仿宋_GB2312"/>
          <w:b w:val="0"/>
          <w:bCs w:val="0"/>
          <w:color w:val="auto"/>
          <w:kern w:val="0"/>
          <w:sz w:val="32"/>
          <w:szCs w:val="32"/>
          <w:highlight w:val="none"/>
        </w:rPr>
        <w:t>汪</w:t>
      </w:r>
      <w:r>
        <w:rPr>
          <w:rFonts w:hint="eastAsia" w:ascii="Times New Roman" w:hAnsi="Times New Roman" w:eastAsia="仿宋_GB2312" w:cs="仿宋_GB2312"/>
          <w:b w:val="0"/>
          <w:bCs w:val="0"/>
          <w:color w:val="auto"/>
          <w:kern w:val="0"/>
          <w:sz w:val="32"/>
          <w:szCs w:val="32"/>
          <w:highlight w:val="none"/>
          <w:lang w:val="en-US" w:eastAsia="zh-CN"/>
        </w:rPr>
        <w:t>鑫</w:t>
      </w:r>
      <w:r>
        <w:rPr>
          <w:rFonts w:hint="eastAsia" w:ascii="Times New Roman" w:hAnsi="Times New Roman" w:eastAsia="仿宋_GB2312" w:cs="仿宋_GB2312"/>
          <w:b w:val="0"/>
          <w:bCs w:val="0"/>
          <w:color w:val="auto"/>
          <w:kern w:val="0"/>
          <w:sz w:val="32"/>
          <w:szCs w:val="32"/>
          <w:highlight w:val="none"/>
        </w:rPr>
        <w:t xml:space="preserve"> </w:t>
      </w:r>
      <w:r>
        <w:rPr>
          <w:rFonts w:hint="eastAsia" w:ascii="Times New Roman" w:hAnsi="Times New Roman" w:eastAsia="仿宋_GB2312" w:cs="仿宋_GB2312"/>
          <w:b w:val="0"/>
          <w:bCs w:val="0"/>
          <w:color w:val="auto"/>
          <w:kern w:val="0"/>
          <w:sz w:val="32"/>
          <w:szCs w:val="32"/>
          <w:highlight w:val="none"/>
          <w:lang w:val="en-US" w:eastAsia="zh-CN"/>
        </w:rPr>
        <w:t>欧阳海棠</w:t>
      </w:r>
    </w:p>
    <w:p>
      <w:pPr>
        <w:pStyle w:val="25"/>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default" w:ascii="Times New Roman" w:hAnsi="Times New Roman" w:eastAsia="仿宋_GB2312" w:cs="仿宋_GB2312"/>
          <w:b w:val="0"/>
          <w:bCs w:val="0"/>
          <w:color w:val="auto"/>
          <w:sz w:val="32"/>
          <w:szCs w:val="32"/>
          <w:highlight w:val="none"/>
          <w:u w:val="single"/>
          <w:lang w:val="en-US"/>
        </w:rPr>
      </w:pPr>
      <w:r>
        <w:rPr>
          <w:rFonts w:hint="eastAsia" w:ascii="Times New Roman" w:hAnsi="Times New Roman" w:eastAsia="仿宋_GB2312" w:cs="仿宋_GB2312"/>
          <w:b w:val="0"/>
          <w:bCs w:val="0"/>
          <w:color w:val="auto"/>
          <w:sz w:val="32"/>
          <w:szCs w:val="32"/>
          <w:highlight w:val="none"/>
        </w:rPr>
        <w:t>联系电话：</w:t>
      </w:r>
      <w:r>
        <w:rPr>
          <w:rFonts w:hint="eastAsia" w:ascii="Times New Roman" w:hAnsi="Times New Roman" w:eastAsia="仿宋_GB2312" w:cs="仿宋_GB2312"/>
          <w:b w:val="0"/>
          <w:bCs w:val="0"/>
          <w:color w:val="auto"/>
          <w:kern w:val="0"/>
          <w:sz w:val="32"/>
          <w:szCs w:val="32"/>
          <w:highlight w:val="none"/>
        </w:rPr>
        <w:t>0752-</w:t>
      </w:r>
      <w:r>
        <w:rPr>
          <w:rFonts w:hint="eastAsia" w:eastAsia="仿宋_GB2312" w:cs="仿宋_GB2312"/>
          <w:b w:val="0"/>
          <w:bCs w:val="0"/>
          <w:color w:val="auto"/>
          <w:kern w:val="0"/>
          <w:sz w:val="32"/>
          <w:szCs w:val="32"/>
          <w:highlight w:val="none"/>
          <w:lang w:val="en-US" w:eastAsia="zh-CN"/>
        </w:rPr>
        <w:t>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注：本公告同时在下列网站及场所发布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638" w:leftChars="304" w:right="0" w:firstLine="0" w:firstLineChars="0"/>
        <w:jc w:val="both"/>
        <w:textAlignment w:val="auto"/>
        <w:outlineLvl w:val="9"/>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 xml:space="preserve">中国土地市场网: </w:t>
      </w:r>
      <w:r>
        <w:rPr>
          <w:rFonts w:hint="eastAsia" w:ascii="Times New Roman" w:hAnsi="Times New Roman" w:eastAsia="仿宋_GB2312" w:cs="仿宋_GB2312"/>
          <w:b w:val="0"/>
          <w:bCs w:val="0"/>
          <w:color w:val="auto"/>
          <w:sz w:val="32"/>
          <w:szCs w:val="32"/>
          <w:highlight w:val="none"/>
        </w:rPr>
        <w:fldChar w:fldCharType="begin"/>
      </w:r>
      <w:r>
        <w:rPr>
          <w:rFonts w:hint="eastAsia" w:ascii="Times New Roman" w:hAnsi="Times New Roman" w:eastAsia="仿宋_GB2312" w:cs="仿宋_GB2312"/>
          <w:b w:val="0"/>
          <w:bCs w:val="0"/>
          <w:color w:val="auto"/>
          <w:sz w:val="32"/>
          <w:szCs w:val="32"/>
          <w:highlight w:val="none"/>
        </w:rPr>
        <w:instrText xml:space="preserve"> HYPERLINK "http://www.landchina.com" </w:instrText>
      </w:r>
      <w:r>
        <w:rPr>
          <w:rFonts w:hint="eastAsia" w:ascii="Times New Roman" w:hAnsi="Times New Roman" w:eastAsia="仿宋_GB2312" w:cs="仿宋_GB2312"/>
          <w:b w:val="0"/>
          <w:bCs w:val="0"/>
          <w:color w:val="auto"/>
          <w:sz w:val="32"/>
          <w:szCs w:val="32"/>
          <w:highlight w:val="none"/>
        </w:rPr>
        <w:fldChar w:fldCharType="separate"/>
      </w:r>
      <w:r>
        <w:rPr>
          <w:rStyle w:val="16"/>
          <w:rFonts w:hint="eastAsia" w:ascii="Times New Roman" w:hAnsi="Times New Roman" w:eastAsia="仿宋_GB2312" w:cs="仿宋_GB2312"/>
          <w:b w:val="0"/>
          <w:bCs w:val="0"/>
          <w:color w:val="auto"/>
          <w:sz w:val="32"/>
          <w:szCs w:val="32"/>
          <w:highlight w:val="none"/>
        </w:rPr>
        <w:t>http://www.landchina.com</w:t>
      </w:r>
      <w:r>
        <w:rPr>
          <w:rFonts w:hint="eastAsia" w:ascii="Times New Roman" w:hAnsi="Times New Roman" w:eastAsia="仿宋_GB2312" w:cs="仿宋_GB2312"/>
          <w:b w:val="0"/>
          <w:bCs w:val="0"/>
          <w:color w:val="auto"/>
          <w:sz w:val="32"/>
          <w:szCs w:val="32"/>
          <w:highlight w:val="none"/>
        </w:rPr>
        <w:fldChar w:fldCharType="end"/>
      </w:r>
      <w:r>
        <w:rPr>
          <w:rFonts w:hint="eastAsia" w:ascii="Times New Roman" w:hAnsi="Times New Roman" w:eastAsia="仿宋_GB2312" w:cs="仿宋_GB2312"/>
          <w:b w:val="0"/>
          <w:bCs w:val="0"/>
          <w:color w:val="auto"/>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lang w:val="zh-TW" w:eastAsia="zh-TW"/>
        </w:rPr>
        <w:t>广东省公共资源交易平台： https://ygp.gdzwfw.gov.cn/</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惠州市公共资源交易中心网：</w:t>
      </w:r>
      <w:r>
        <w:rPr>
          <w:rFonts w:hint="eastAsia" w:ascii="Times New Roman" w:hAnsi="Times New Roman" w:eastAsia="仿宋_GB2312" w:cs="仿宋_GB2312"/>
          <w:b w:val="0"/>
          <w:bCs w:val="0"/>
          <w:color w:val="auto"/>
          <w:sz w:val="32"/>
          <w:szCs w:val="32"/>
          <w:highlight w:val="none"/>
        </w:rPr>
        <w:fldChar w:fldCharType="begin"/>
      </w:r>
      <w:r>
        <w:rPr>
          <w:rFonts w:hint="eastAsia" w:ascii="Times New Roman" w:hAnsi="Times New Roman" w:eastAsia="仿宋_GB2312" w:cs="仿宋_GB2312"/>
          <w:b w:val="0"/>
          <w:bCs w:val="0"/>
          <w:color w:val="auto"/>
          <w:sz w:val="32"/>
          <w:szCs w:val="32"/>
          <w:highlight w:val="none"/>
        </w:rPr>
        <w:instrText xml:space="preserve"> HYPERLINK "http://zyjy.huizhou.gov.cn" </w:instrText>
      </w:r>
      <w:r>
        <w:rPr>
          <w:rFonts w:hint="eastAsia" w:ascii="Times New Roman" w:hAnsi="Times New Roman" w:eastAsia="仿宋_GB2312" w:cs="仿宋_GB2312"/>
          <w:b w:val="0"/>
          <w:bCs w:val="0"/>
          <w:color w:val="auto"/>
          <w:sz w:val="32"/>
          <w:szCs w:val="32"/>
          <w:highlight w:val="none"/>
        </w:rPr>
        <w:fldChar w:fldCharType="separate"/>
      </w:r>
      <w:r>
        <w:rPr>
          <w:rFonts w:hint="eastAsia" w:ascii="Times New Roman" w:hAnsi="Times New Roman" w:eastAsia="仿宋_GB2312" w:cs="仿宋_GB2312"/>
          <w:b w:val="0"/>
          <w:bCs w:val="0"/>
          <w:color w:val="auto"/>
          <w:sz w:val="32"/>
          <w:szCs w:val="32"/>
          <w:highlight w:val="none"/>
        </w:rPr>
        <w:t>http://zyjy.huizhou.gov.cn</w:t>
      </w:r>
      <w:r>
        <w:rPr>
          <w:rFonts w:hint="eastAsia" w:ascii="Times New Roman" w:hAnsi="Times New Roman" w:eastAsia="仿宋_GB2312" w:cs="仿宋_GB2312"/>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惠州</w:t>
      </w:r>
      <w:r>
        <w:rPr>
          <w:rFonts w:hint="eastAsia" w:ascii="Times New Roman" w:hAnsi="Times New Roman" w:eastAsia="仿宋_GB2312" w:cs="仿宋_GB2312"/>
          <w:b w:val="0"/>
          <w:bCs w:val="0"/>
          <w:color w:val="auto"/>
          <w:sz w:val="32"/>
          <w:szCs w:val="32"/>
          <w:highlight w:val="none"/>
          <w:lang w:eastAsia="zh-CN"/>
        </w:rPr>
        <w:t>市</w:t>
      </w:r>
      <w:r>
        <w:rPr>
          <w:rFonts w:hint="eastAsia" w:ascii="Times New Roman" w:hAnsi="Times New Roman" w:eastAsia="仿宋_GB2312" w:cs="仿宋_GB2312"/>
          <w:b w:val="0"/>
          <w:bCs w:val="0"/>
          <w:color w:val="auto"/>
          <w:sz w:val="32"/>
          <w:szCs w:val="32"/>
          <w:highlight w:val="none"/>
        </w:rPr>
        <w:t>公共资源交易中心</w:t>
      </w:r>
      <w:r>
        <w:rPr>
          <w:rFonts w:hint="eastAsia" w:ascii="Times New Roman" w:hAnsi="Times New Roman" w:eastAsia="仿宋_GB2312" w:cs="仿宋_GB2312"/>
          <w:b w:val="0"/>
          <w:bCs w:val="0"/>
          <w:color w:val="auto"/>
          <w:sz w:val="32"/>
          <w:szCs w:val="32"/>
          <w:highlight w:val="none"/>
          <w:lang w:eastAsia="zh-CN"/>
        </w:rPr>
        <w:t>仲恺分中心</w:t>
      </w:r>
      <w:r>
        <w:rPr>
          <w:rFonts w:hint="eastAsia" w:ascii="Times New Roman" w:hAnsi="Times New Roman" w:eastAsia="仿宋_GB2312" w:cs="仿宋_GB2312"/>
          <w:b w:val="0"/>
          <w:bCs w:val="0"/>
          <w:color w:val="auto"/>
          <w:sz w:val="32"/>
          <w:szCs w:val="32"/>
          <w:highlight w:val="none"/>
        </w:rPr>
        <w:t>网站</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eastAsia="zh-CN"/>
        </w:rPr>
        <w:fldChar w:fldCharType="begin"/>
      </w:r>
      <w:r>
        <w:rPr>
          <w:rFonts w:hint="eastAsia" w:ascii="Times New Roman" w:hAnsi="Times New Roman" w:eastAsia="仿宋_GB2312" w:cs="仿宋_GB2312"/>
          <w:b w:val="0"/>
          <w:bCs w:val="0"/>
          <w:color w:val="auto"/>
          <w:sz w:val="32"/>
          <w:szCs w:val="32"/>
          <w:highlight w:val="none"/>
          <w:lang w:eastAsia="zh-CN"/>
        </w:rPr>
        <w:instrText xml:space="preserve"> HYPERLINK "http://www.hzzk.gov.cn/gwhbm/hzsggzyjyzxzzfzx/index.html" </w:instrText>
      </w:r>
      <w:r>
        <w:rPr>
          <w:rFonts w:hint="eastAsia" w:ascii="Times New Roman" w:hAnsi="Times New Roman" w:eastAsia="仿宋_GB2312" w:cs="仿宋_GB2312"/>
          <w:b w:val="0"/>
          <w:bCs w:val="0"/>
          <w:color w:val="auto"/>
          <w:sz w:val="32"/>
          <w:szCs w:val="32"/>
          <w:highlight w:val="none"/>
          <w:lang w:eastAsia="zh-CN"/>
        </w:rPr>
        <w:fldChar w:fldCharType="separate"/>
      </w:r>
      <w:r>
        <w:rPr>
          <w:rStyle w:val="16"/>
          <w:rFonts w:hint="eastAsia" w:ascii="Times New Roman" w:hAnsi="Times New Roman" w:eastAsia="仿宋_GB2312" w:cs="仿宋_GB2312"/>
          <w:b w:val="0"/>
          <w:bCs w:val="0"/>
          <w:color w:val="auto"/>
          <w:sz w:val="32"/>
          <w:szCs w:val="32"/>
          <w:highlight w:val="none"/>
          <w:lang w:eastAsia="zh-CN"/>
        </w:rPr>
        <w:t>http://www.hzzk.gov.cn/gwhbm/hzsggzyjyzxzzfzx/index.html</w:t>
      </w:r>
      <w:r>
        <w:rPr>
          <w:rFonts w:hint="eastAsia" w:ascii="Times New Roman" w:hAnsi="Times New Roman" w:eastAsia="仿宋_GB2312" w:cs="仿宋_GB2312"/>
          <w:b w:val="0"/>
          <w:bCs w:val="0"/>
          <w:color w:val="auto"/>
          <w:sz w:val="32"/>
          <w:szCs w:val="32"/>
          <w:highlight w:val="none"/>
          <w:lang w:eastAsia="zh-CN"/>
        </w:rPr>
        <w:fldChar w:fldCharType="end"/>
      </w:r>
    </w:p>
    <w:p>
      <w:pPr>
        <w:pStyle w:val="2"/>
        <w:rPr>
          <w:rFonts w:hint="eastAsia" w:ascii="Times New Roman" w:hAnsi="Times New Roman"/>
          <w:lang w:val="en-US" w:eastAsia="zh-CN"/>
        </w:rPr>
      </w:pPr>
      <w:r>
        <w:rPr>
          <w:rFonts w:hint="eastAsia" w:ascii="Times New Roman" w:hAnsi="Times New Roman" w:eastAsia="仿宋_GB2312" w:cs="仿宋_GB2312"/>
          <w:lang w:val="en-US" w:eastAsia="zh-CN"/>
        </w:rPr>
        <w:t>惠州市仲恺高新区国土资源分局网站：</w:t>
      </w:r>
      <w:r>
        <w:rPr>
          <w:rFonts w:hint="eastAsia" w:ascii="Times New Roman" w:hAnsi="Times New Roman" w:eastAsia="仿宋_GB2312" w:cs="仿宋_GB2312"/>
          <w:lang w:val="en-US" w:eastAsia="zh-CN"/>
        </w:rPr>
        <w:fldChar w:fldCharType="begin"/>
      </w:r>
      <w:r>
        <w:rPr>
          <w:rFonts w:hint="eastAsia" w:ascii="Times New Roman" w:hAnsi="Times New Roman" w:eastAsia="仿宋_GB2312" w:cs="仿宋_GB2312"/>
          <w:lang w:val="en-US" w:eastAsia="zh-CN"/>
        </w:rPr>
        <w:instrText xml:space="preserve">HYPERLINK "http://www.hzzk.gov.cn/gwhbm/zzgxqgtzyfj/"</w:instrText>
      </w:r>
      <w:r>
        <w:rPr>
          <w:rFonts w:hint="eastAsia" w:ascii="Times New Roman" w:hAnsi="Times New Roman" w:eastAsia="仿宋_GB2312" w:cs="仿宋_GB2312"/>
          <w:lang w:val="en-US" w:eastAsia="zh-CN"/>
        </w:rPr>
        <w:fldChar w:fldCharType="separate"/>
      </w:r>
      <w:r>
        <w:rPr>
          <w:rFonts w:hint="eastAsia" w:ascii="Times New Roman" w:hAnsi="Times New Roman" w:eastAsia="仿宋_GB2312" w:cs="仿宋_GB2312"/>
          <w:lang w:val="en-US" w:eastAsia="zh-CN"/>
        </w:rPr>
        <w:t>http://www.hzzk.gov.cn/gwhbm/zzgxqgtzyfj/</w:t>
      </w:r>
      <w:r>
        <w:rPr>
          <w:rFonts w:hint="eastAsia" w:ascii="Times New Roman" w:hAnsi="Times New Roman" w:eastAsia="仿宋_GB2312" w:cs="仿宋_GB2312"/>
          <w:lang w:val="en-US" w:eastAsia="zh-CN"/>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惠州</w:t>
      </w:r>
      <w:r>
        <w:rPr>
          <w:rFonts w:hint="eastAsia" w:ascii="Times New Roman" w:hAnsi="Times New Roman" w:eastAsia="仿宋_GB2312" w:cs="仿宋_GB2312"/>
          <w:b w:val="0"/>
          <w:bCs w:val="0"/>
          <w:color w:val="auto"/>
          <w:sz w:val="32"/>
          <w:szCs w:val="32"/>
          <w:highlight w:val="none"/>
          <w:lang w:eastAsia="zh-CN"/>
        </w:rPr>
        <w:t>市</w:t>
      </w:r>
      <w:r>
        <w:rPr>
          <w:rFonts w:hint="eastAsia" w:ascii="Times New Roman" w:hAnsi="Times New Roman" w:eastAsia="仿宋_GB2312" w:cs="仿宋_GB2312"/>
          <w:b w:val="0"/>
          <w:bCs w:val="0"/>
          <w:color w:val="auto"/>
          <w:sz w:val="32"/>
          <w:szCs w:val="32"/>
          <w:highlight w:val="none"/>
        </w:rPr>
        <w:t>公共资源交易中心</w:t>
      </w:r>
      <w:r>
        <w:rPr>
          <w:rFonts w:hint="eastAsia" w:ascii="Times New Roman" w:hAnsi="Times New Roman" w:eastAsia="仿宋_GB2312" w:cs="仿宋_GB2312"/>
          <w:b w:val="0"/>
          <w:bCs w:val="0"/>
          <w:color w:val="auto"/>
          <w:sz w:val="32"/>
          <w:szCs w:val="32"/>
          <w:highlight w:val="none"/>
          <w:lang w:eastAsia="zh-CN"/>
        </w:rPr>
        <w:t>仲恺分中心</w:t>
      </w:r>
      <w:r>
        <w:rPr>
          <w:rFonts w:hint="eastAsia" w:ascii="Times New Roman" w:hAnsi="Times New Roman" w:eastAsia="仿宋_GB2312" w:cs="仿宋_GB2312"/>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联系电话：0752-7121029</w:t>
      </w:r>
    </w:p>
    <w:p>
      <w:pPr>
        <w:pStyle w:val="5"/>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ascii="Times New Roman" w:hAnsi="Times New Roman"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eastAsia" w:ascii="Times New Roman" w:hAnsi="Times New Roman"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仿宋_GB2312"/>
          <w:b w:val="0"/>
          <w:bCs w:val="0"/>
          <w:color w:val="auto"/>
          <w:sz w:val="32"/>
          <w:szCs w:val="32"/>
          <w:highlight w:val="none"/>
          <w:lang w:val="en-US" w:eastAsia="zh-CN"/>
        </w:rPr>
        <w:t xml:space="preserve">                 惠州市仲恺高新区国土资源分局                                       202</w:t>
      </w:r>
      <w:r>
        <w:rPr>
          <w:rFonts w:hint="eastAsia" w:eastAsia="仿宋_GB2312"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non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lang w:val="en-US" w:eastAsia="zh-CN"/>
        </w:rPr>
        <w:t>21</w:t>
      </w:r>
      <w:r>
        <w:rPr>
          <w:rFonts w:hint="eastAsia" w:ascii="Times New Roman" w:hAnsi="Times New Roman" w:eastAsia="仿宋_GB2312" w:cs="仿宋_GB2312"/>
          <w:b w:val="0"/>
          <w:bCs w:val="0"/>
          <w:color w:val="auto"/>
          <w:sz w:val="32"/>
          <w:szCs w:val="32"/>
          <w:highlight w:val="none"/>
          <w:u w:val="none"/>
          <w:lang w:val="en-US" w:eastAsia="zh-CN"/>
        </w:rPr>
        <w:t>日</w:t>
      </w:r>
    </w:p>
    <w:p>
      <w:pPr>
        <w:pStyle w:val="33"/>
        <w:keepNext w:val="0"/>
        <w:keepLines w:val="0"/>
        <w:widowControl w:val="0"/>
        <w:shd w:val="clear" w:color="auto" w:fill="auto"/>
        <w:bidi w:val="0"/>
        <w:spacing w:before="0" w:after="260" w:line="240" w:lineRule="auto"/>
        <w:ind w:left="0" w:leftChars="0" w:right="0" w:firstLine="0" w:firstLineChars="0"/>
        <w:jc w:val="left"/>
        <w:rPr>
          <w:rFonts w:ascii="Times New Roman" w:hAnsi="Times New Roman"/>
        </w:rPr>
      </w:pPr>
      <w:r>
        <w:rPr>
          <w:rFonts w:ascii="Times New Roman" w:hAnsi="Times New Roman"/>
          <w:color w:val="000000"/>
          <w:spacing w:val="0"/>
          <w:w w:val="100"/>
          <w:position w:val="0"/>
        </w:rPr>
        <w:t>附表:</w:t>
      </w:r>
    </w:p>
    <w:p>
      <w:pPr>
        <w:pStyle w:val="34"/>
        <w:keepNext w:val="0"/>
        <w:keepLines w:val="0"/>
        <w:widowControl w:val="0"/>
        <w:shd w:val="clear" w:color="auto" w:fill="auto"/>
        <w:bidi w:val="0"/>
        <w:spacing w:before="0" w:after="0" w:line="240" w:lineRule="auto"/>
        <w:ind w:right="0"/>
        <w:jc w:val="center"/>
        <w:rPr>
          <w:rFonts w:hint="eastAsia" w:ascii="Times New Roman" w:hAnsi="Times New Roman" w:eastAsia="方正小标宋_GBK" w:cs="方正小标宋_GBK"/>
          <w:color w:val="000000"/>
          <w:spacing w:val="0"/>
          <w:w w:val="100"/>
          <w:position w:val="0"/>
          <w:sz w:val="44"/>
          <w:szCs w:val="44"/>
        </w:rPr>
      </w:pPr>
      <w:r>
        <w:rPr>
          <w:rFonts w:hint="eastAsia" w:ascii="Times New Roman" w:hAnsi="Times New Roman" w:eastAsia="方正小标宋_GBK" w:cs="方正小标宋_GBK"/>
          <w:color w:val="000000"/>
          <w:spacing w:val="0"/>
          <w:w w:val="100"/>
          <w:position w:val="0"/>
          <w:sz w:val="44"/>
          <w:szCs w:val="44"/>
        </w:rPr>
        <w:t>网上挂牌出让地块基本情况及规划建设指标</w:t>
      </w:r>
    </w:p>
    <w:p>
      <w:pPr>
        <w:pStyle w:val="34"/>
        <w:keepNext w:val="0"/>
        <w:keepLines w:val="0"/>
        <w:widowControl w:val="0"/>
        <w:shd w:val="clear" w:color="auto" w:fill="auto"/>
        <w:bidi w:val="0"/>
        <w:spacing w:before="0" w:after="0" w:line="240" w:lineRule="auto"/>
        <w:ind w:right="0"/>
        <w:jc w:val="center"/>
        <w:rPr>
          <w:rFonts w:ascii="Times New Roman" w:hAnsi="Times New Roman"/>
          <w:color w:val="000000"/>
          <w:spacing w:val="0"/>
          <w:w w:val="100"/>
          <w:position w:val="0"/>
        </w:rPr>
      </w:pPr>
    </w:p>
    <w:tbl>
      <w:tblPr>
        <w:tblStyle w:val="10"/>
        <w:tblW w:w="15612" w:type="dxa"/>
        <w:jc w:val="center"/>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678"/>
        <w:gridCol w:w="1685"/>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sz w:val="22"/>
                <w:szCs w:val="22"/>
              </w:rPr>
            </w:pPr>
            <w:r>
              <w:rPr>
                <w:rFonts w:ascii="Times New Roman" w:hAnsi="Times New Roman"/>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用地编</w:t>
            </w:r>
            <w:r>
              <w:rPr>
                <w:rFonts w:hint="eastAsia" w:ascii="Times New Roman" w:hAnsi="Times New Roman" w:eastAsia="宋体" w:cs="宋体"/>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hint="eastAsia" w:ascii="Times New Roman" w:hAnsi="Times New Roman" w:eastAsia="宋体" w:cs="宋体"/>
                <w:color w:val="000000"/>
                <w:spacing w:val="0"/>
                <w:w w:val="100"/>
                <w:position w:val="0"/>
                <w:sz w:val="22"/>
                <w:szCs w:val="22"/>
                <w:lang w:val="en-US" w:eastAsia="zh-CN"/>
              </w:rPr>
              <w:t>土</w:t>
            </w:r>
            <w:r>
              <w:rPr>
                <w:rFonts w:ascii="Times New Roman" w:hAnsi="Times New Roman" w:eastAsia="宋体" w:cs="宋体"/>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出让</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年限</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挂牌</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加价</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幅度</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竞买</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保证金</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（万元）</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rPr>
                <w:rFonts w:ascii="Times New Roman" w:hAnsi="Times New Roman"/>
              </w:rPr>
            </w:pPr>
          </w:p>
        </w:tc>
        <w:tc>
          <w:tcPr>
            <w:tcW w:w="630" w:type="dxa"/>
            <w:vMerge w:val="continue"/>
            <w:tcBorders>
              <w:left w:val="single" w:color="auto" w:sz="4" w:space="0"/>
            </w:tcBorders>
            <w:shd w:val="clear" w:color="auto" w:fill="FFFFFF"/>
            <w:vAlign w:val="center"/>
          </w:tcPr>
          <w:p>
            <w:pPr>
              <w:jc w:val="center"/>
              <w:rPr>
                <w:rFonts w:ascii="Times New Roman" w:hAnsi="Times New Roman"/>
              </w:rPr>
            </w:pPr>
          </w:p>
        </w:tc>
        <w:tc>
          <w:tcPr>
            <w:tcW w:w="1140" w:type="dxa"/>
            <w:vMerge w:val="continue"/>
            <w:tcBorders>
              <w:left w:val="single" w:color="auto" w:sz="4" w:space="0"/>
            </w:tcBorders>
            <w:shd w:val="clear" w:color="auto" w:fill="FFFFFF"/>
            <w:vAlign w:val="center"/>
          </w:tcPr>
          <w:p>
            <w:pPr>
              <w:jc w:val="center"/>
              <w:rPr>
                <w:rFonts w:ascii="Times New Roman" w:hAnsi="Times New Roman"/>
              </w:rPr>
            </w:pPr>
          </w:p>
        </w:tc>
        <w:tc>
          <w:tcPr>
            <w:tcW w:w="516" w:type="dxa"/>
            <w:vMerge w:val="continue"/>
            <w:tcBorders>
              <w:left w:val="single" w:color="auto" w:sz="4" w:space="0"/>
            </w:tcBorders>
            <w:shd w:val="clear" w:color="auto" w:fill="FFFFFF"/>
            <w:vAlign w:val="center"/>
          </w:tcPr>
          <w:p>
            <w:pPr>
              <w:jc w:val="center"/>
              <w:rPr>
                <w:rFonts w:ascii="Times New Roman" w:hAnsi="Times New Roman"/>
              </w:rPr>
            </w:pPr>
          </w:p>
        </w:tc>
        <w:tc>
          <w:tcPr>
            <w:tcW w:w="1116"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计算指标用地面积</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宗地使用权面积</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default" w:ascii="Times New Roman" w:hAnsi="Times New Roman" w:eastAsia="宋体" w:cs="宋体"/>
                <w:color w:val="000000"/>
                <w:spacing w:val="0"/>
                <w:w w:val="100"/>
                <w:position w:val="0"/>
                <w:sz w:val="22"/>
                <w:szCs w:val="22"/>
                <w:lang w:val="en-US" w:eastAsia="zh-CN"/>
              </w:rPr>
              <w:t>建</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default" w:ascii="Times New Roman" w:hAnsi="Times New Roman" w:eastAsia="宋体" w:cs="宋体"/>
                <w:color w:val="000000"/>
                <w:spacing w:val="0"/>
                <w:w w:val="100"/>
                <w:position w:val="0"/>
                <w:sz w:val="22"/>
                <w:szCs w:val="22"/>
                <w:lang w:val="en-US" w:eastAsia="zh-CN"/>
              </w:rPr>
              <w:t>筑</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Times New Roman" w:hAnsi="Times New Roman" w:cs="宋体"/>
                <w:color w:val="000000"/>
                <w:spacing w:val="0"/>
                <w:w w:val="100"/>
                <w:position w:val="0"/>
                <w:sz w:val="22"/>
                <w:szCs w:val="22"/>
                <w:lang w:val="en-US" w:eastAsia="zh-CN"/>
              </w:rPr>
            </w:pPr>
            <w:r>
              <w:rPr>
                <w:rFonts w:hint="eastAsia" w:ascii="Times New Roman" w:hAnsi="Times New Roman" w:cs="宋体"/>
                <w:color w:val="000000"/>
                <w:spacing w:val="0"/>
                <w:w w:val="100"/>
                <w:position w:val="0"/>
                <w:sz w:val="22"/>
                <w:szCs w:val="22"/>
                <w:lang w:val="en-US" w:eastAsia="zh-CN"/>
              </w:rPr>
              <w:t>密</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Times New Roman" w:hAnsi="Times New Roman" w:cs="宋体"/>
                <w:color w:val="000000"/>
                <w:spacing w:val="0"/>
                <w:w w:val="100"/>
                <w:position w:val="0"/>
                <w:sz w:val="22"/>
                <w:szCs w:val="22"/>
                <w:lang w:val="en-US" w:eastAsia="zh-CN"/>
              </w:rPr>
            </w:pPr>
            <w:r>
              <w:rPr>
                <w:rFonts w:hint="eastAsia" w:ascii="Times New Roman" w:hAnsi="Times New Roman" w:cs="宋体"/>
                <w:color w:val="000000"/>
                <w:spacing w:val="0"/>
                <w:w w:val="100"/>
                <w:position w:val="0"/>
                <w:sz w:val="22"/>
                <w:szCs w:val="22"/>
                <w:lang w:val="en-US" w:eastAsia="zh-CN"/>
              </w:rPr>
              <w:t>度</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rPr>
            </w:pPr>
            <w:r>
              <w:rPr>
                <w:rFonts w:hint="eastAsia" w:ascii="Times New Roman" w:hAnsi="Times New Roman" w:eastAsia="宋体" w:cs="宋体"/>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容</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积</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率</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计容积率建筑面积</w:t>
            </w:r>
            <w:r>
              <w:rPr>
                <w:rFonts w:hint="eastAsia" w:ascii="Times New Roman" w:hAnsi="Times New Roman" w:eastAsia="宋体" w:cs="宋体"/>
                <w:color w:val="000000"/>
                <w:spacing w:val="0"/>
                <w:w w:val="100"/>
                <w:position w:val="0"/>
                <w:sz w:val="22"/>
                <w:szCs w:val="22"/>
                <w:lang w:val="en-US" w:eastAsia="zh-CN"/>
              </w:rPr>
              <w:t>S</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绿地率</w:t>
            </w:r>
            <w:r>
              <w:rPr>
                <w:rFonts w:hint="eastAsia" w:ascii="Times New Roman" w:hAnsi="Times New Roman" w:eastAsia="宋体" w:cs="宋体"/>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zh-TW" w:eastAsia="zh-TW"/>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hint="eastAsia" w:ascii="Times New Roman" w:hAnsi="Times New Roman" w:eastAsia="宋体" w:cs="宋体"/>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惠仲土</w:t>
            </w:r>
            <w:r>
              <w:rPr>
                <w:rFonts w:hint="eastAsia" w:eastAsia="Times New Roman" w:cs="Times New Roman"/>
                <w:sz w:val="20"/>
                <w:szCs w:val="20"/>
                <w:lang w:val="en-US" w:eastAsia="zh-CN"/>
              </w:rPr>
              <w:t>（用地）</w:t>
            </w:r>
            <w:r>
              <w:rPr>
                <w:rFonts w:hint="eastAsia" w:ascii="Times New Roman" w:hAnsi="Times New Roman" w:eastAsia="Times New Roman" w:cs="Times New Roman"/>
                <w:sz w:val="20"/>
                <w:szCs w:val="20"/>
                <w:lang w:val="en-US" w:eastAsia="zh-CN"/>
              </w:rPr>
              <w:t>挂[202</w:t>
            </w:r>
            <w:r>
              <w:rPr>
                <w:rFonts w:hint="eastAsia" w:eastAsia="Times New Roman" w:cs="Times New Roman"/>
                <w:sz w:val="20"/>
                <w:szCs w:val="20"/>
                <w:lang w:val="en-US" w:eastAsia="zh-CN"/>
              </w:rPr>
              <w:t>3</w:t>
            </w:r>
            <w:r>
              <w:rPr>
                <w:rFonts w:hint="eastAsia" w:ascii="Times New Roman" w:hAnsi="Times New Roman" w:eastAsia="Times New Roman" w:cs="Times New Roman"/>
                <w:sz w:val="20"/>
                <w:szCs w:val="20"/>
                <w:lang w:val="en-US" w:eastAsia="zh-CN"/>
              </w:rPr>
              <w:t>]</w:t>
            </w:r>
            <w:r>
              <w:rPr>
                <w:rFonts w:hint="eastAsia" w:cs="Times New Roman"/>
                <w:sz w:val="20"/>
                <w:szCs w:val="20"/>
                <w:lang w:val="en-US" w:eastAsia="zh-CN"/>
              </w:rPr>
              <w:t>002</w:t>
            </w:r>
            <w:r>
              <w:rPr>
                <w:rFonts w:hint="eastAsia" w:ascii="Times New Roman" w:hAnsi="Times New Roman" w:eastAsia="Times New Roman" w:cs="Times New Roman"/>
                <w:sz w:val="20"/>
                <w:szCs w:val="20"/>
                <w:lang w:val="en-US" w:eastAsia="zh-CN"/>
              </w:rPr>
              <w:t>号</w:t>
            </w:r>
          </w:p>
          <w:p>
            <w:pPr>
              <w:widowControl w:val="0"/>
              <w:jc w:val="center"/>
              <w:rPr>
                <w:rFonts w:ascii="Times New Roman" w:hAnsi="Times New Roman"/>
                <w:sz w:val="10"/>
                <w:szCs w:val="10"/>
              </w:rPr>
            </w:pPr>
          </w:p>
        </w:tc>
        <w:tc>
          <w:tcPr>
            <w:tcW w:w="6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惠州仲恺高新区潼湖生态智慧区梧村河东片区</w:t>
            </w:r>
          </w:p>
        </w:tc>
        <w:tc>
          <w:tcPr>
            <w:tcW w:w="11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ZKC-063-1</w:t>
            </w:r>
            <w:r>
              <w:rPr>
                <w:rFonts w:hint="eastAsia" w:eastAsia="Times New Roman" w:cs="Times New Roman"/>
                <w:sz w:val="20"/>
                <w:szCs w:val="20"/>
                <w:lang w:val="en-US" w:eastAsia="zh-CN"/>
              </w:rPr>
              <w:t>6</w:t>
            </w:r>
          </w:p>
        </w:tc>
        <w:tc>
          <w:tcPr>
            <w:tcW w:w="5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住宅及商服用地</w:t>
            </w:r>
          </w:p>
        </w:tc>
        <w:tc>
          <w:tcPr>
            <w:tcW w:w="11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56447</w:t>
            </w:r>
          </w:p>
        </w:tc>
        <w:tc>
          <w:tcPr>
            <w:tcW w:w="93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44202</w:t>
            </w:r>
          </w:p>
        </w:tc>
        <w:tc>
          <w:tcPr>
            <w:tcW w:w="70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≤22</w:t>
            </w:r>
          </w:p>
        </w:tc>
        <w:tc>
          <w:tcPr>
            <w:tcW w:w="85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2.8</w:t>
            </w:r>
          </w:p>
        </w:tc>
        <w:tc>
          <w:tcPr>
            <w:tcW w:w="17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r>
              <w:rPr>
                <w:rFonts w:hint="eastAsia" w:eastAsia="Times New Roman" w:cs="Times New Roman"/>
                <w:sz w:val="20"/>
                <w:szCs w:val="20"/>
                <w:lang w:val="en-US" w:eastAsia="zh-CN"/>
              </w:rPr>
              <w:t>158051</w:t>
            </w:r>
            <w:r>
              <w:rPr>
                <w:rFonts w:hint="eastAsia" w:ascii="Times New Roman" w:hAnsi="Times New Roman" w:eastAsia="Times New Roman" w:cs="Times New Roman"/>
                <w:sz w:val="20"/>
                <w:szCs w:val="20"/>
                <w:lang w:val="en-US" w:eastAsia="zh-CN"/>
              </w:rPr>
              <w:t>（</w:t>
            </w:r>
            <w:r>
              <w:rPr>
                <w:rFonts w:hint="eastAsia" w:eastAsia="Times New Roman" w:cs="Times New Roman"/>
                <w:sz w:val="20"/>
                <w:szCs w:val="20"/>
                <w:lang w:val="en-US" w:eastAsia="zh-CN"/>
              </w:rPr>
              <w:t>其中商业建筑面积≤15805㎡，兼容的商业用地不能建设服务型公寓</w:t>
            </w:r>
            <w:r>
              <w:rPr>
                <w:rFonts w:hint="eastAsia" w:ascii="Times New Roman" w:hAnsi="Times New Roman" w:eastAsia="Times New Roman" w:cs="Times New Roman"/>
                <w:sz w:val="20"/>
                <w:szCs w:val="20"/>
                <w:lang w:val="en-US" w:eastAsia="zh-CN"/>
              </w:rPr>
              <w:t>）</w:t>
            </w:r>
          </w:p>
        </w:tc>
        <w:tc>
          <w:tcPr>
            <w:tcW w:w="67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≥35</w:t>
            </w:r>
          </w:p>
        </w:tc>
        <w:tc>
          <w:tcPr>
            <w:tcW w:w="1685" w:type="dxa"/>
            <w:tcBorders>
              <w:top w:val="single" w:color="auto" w:sz="4" w:space="0"/>
              <w:left w:val="single" w:color="auto" w:sz="4" w:space="0"/>
              <w:bottom w:val="single" w:color="auto" w:sz="4" w:space="0"/>
            </w:tcBorders>
            <w:shd w:val="clear" w:color="auto" w:fill="FFFFFF"/>
            <w:vAlign w:val="center"/>
          </w:tcPr>
          <w:p>
            <w:pPr>
              <w:spacing w:line="240" w:lineRule="auto"/>
              <w:ind w:firstLine="400" w:firstLineChars="200"/>
              <w:jc w:val="center"/>
              <w:rPr>
                <w:rFonts w:hint="eastAsia" w:ascii="Times New Roman" w:hAnsi="Times New Roman" w:eastAsia="Times New Roman" w:cs="Times New Roman"/>
                <w:sz w:val="20"/>
                <w:szCs w:val="20"/>
                <w:lang w:val="en-US" w:eastAsia="zh-CN"/>
              </w:rPr>
            </w:pPr>
          </w:p>
          <w:p>
            <w:pPr>
              <w:spacing w:line="240" w:lineRule="auto"/>
              <w:jc w:val="both"/>
              <w:rPr>
                <w:rFonts w:hint="eastAsia" w:ascii="宋体" w:hAnsi="宋体" w:eastAsia="宋体" w:cs="宋体"/>
                <w:bCs/>
                <w:color w:val="auto"/>
                <w:sz w:val="18"/>
                <w:szCs w:val="18"/>
                <w:lang w:val="en-US" w:eastAsia="zh-CN"/>
              </w:rPr>
            </w:pPr>
            <w:r>
              <w:rPr>
                <w:rFonts w:hint="eastAsia" w:ascii="Times New Roman" w:hAnsi="Times New Roman" w:eastAsia="Times New Roman" w:cs="Times New Roman"/>
                <w:sz w:val="20"/>
                <w:szCs w:val="20"/>
                <w:lang w:val="en-US" w:eastAsia="zh-CN"/>
              </w:rPr>
              <w:t>按每100平方米计容积率建筑面积≥1个，地面停车数占总停车数的比例≤10%。配建停车位应按要求建设充电基础设施</w:t>
            </w:r>
            <w:r>
              <w:rPr>
                <w:rFonts w:hint="eastAsia" w:ascii="宋体" w:hAnsi="宋体" w:eastAsia="宋体" w:cs="宋体"/>
                <w:color w:val="auto"/>
                <w:sz w:val="18"/>
                <w:szCs w:val="18"/>
              </w:rPr>
              <w:t>或预留建设安装条件</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tc>
        <w:tc>
          <w:tcPr>
            <w:tcW w:w="647"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商服</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lang w:val="en-US" w:eastAsia="zh-CN"/>
              </w:rPr>
            </w:pPr>
            <w:r>
              <w:rPr>
                <w:rFonts w:hint="eastAsia" w:ascii="Times New Roman" w:hAnsi="Times New Roman" w:eastAsia="Times New Roman" w:cs="Times New Roman"/>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58221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800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highlight w:val="none"/>
                <w:lang w:val="en-US" w:eastAsia="zh-CN"/>
              </w:rPr>
            </w:pPr>
            <w:r>
              <w:rPr>
                <w:rFonts w:hint="eastAsia" w:eastAsia="Times New Roman" w:cs="Times New Roman"/>
                <w:sz w:val="20"/>
                <w:szCs w:val="20"/>
                <w:highlight w:val="none"/>
                <w:lang w:val="en-US" w:eastAsia="zh-CN"/>
              </w:rPr>
              <w:t>29110</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highlight w:val="none"/>
                <w:lang w:val="en-US" w:eastAsia="zh-CN"/>
              </w:rPr>
            </w:pPr>
            <w:r>
              <w:rPr>
                <w:rFonts w:hint="eastAsia" w:ascii="Times New Roman" w:hAnsi="Times New Roman" w:eastAsia="Times New Roman" w:cs="Times New Roman"/>
                <w:sz w:val="20"/>
                <w:szCs w:val="20"/>
                <w:highlight w:val="none"/>
                <w:lang w:val="en-US" w:eastAsia="zh-CN"/>
              </w:rPr>
              <w:t>202</w:t>
            </w:r>
            <w:r>
              <w:rPr>
                <w:rFonts w:hint="eastAsia" w:eastAsia="Times New Roman" w:cs="Times New Roman"/>
                <w:sz w:val="20"/>
                <w:szCs w:val="20"/>
                <w:highlight w:val="none"/>
                <w:lang w:val="en-US" w:eastAsia="zh-CN"/>
              </w:rPr>
              <w:t>3</w:t>
            </w:r>
            <w:r>
              <w:rPr>
                <w:rFonts w:hint="eastAsia" w:ascii="Times New Roman" w:hAnsi="Times New Roman" w:eastAsia="Times New Roman" w:cs="Times New Roman"/>
                <w:sz w:val="20"/>
                <w:szCs w:val="20"/>
                <w:highlight w:val="none"/>
                <w:lang w:val="en-US" w:eastAsia="zh-CN"/>
              </w:rPr>
              <w:t>年</w:t>
            </w:r>
            <w:r>
              <w:rPr>
                <w:rFonts w:hint="eastAsia" w:eastAsia="Times New Roman" w:cs="Times New Roman"/>
                <w:sz w:val="20"/>
                <w:szCs w:val="20"/>
                <w:highlight w:val="none"/>
                <w:lang w:val="en-US" w:eastAsia="zh-CN"/>
              </w:rPr>
              <w:t>3</w:t>
            </w:r>
            <w:r>
              <w:rPr>
                <w:rFonts w:hint="eastAsia" w:ascii="Times New Roman" w:hAnsi="Times New Roman" w:eastAsia="Times New Roman" w:cs="Times New Roman"/>
                <w:sz w:val="20"/>
                <w:szCs w:val="20"/>
                <w:highlight w:val="none"/>
                <w:lang w:val="en-US" w:eastAsia="zh-CN"/>
              </w:rPr>
              <w:t>月</w:t>
            </w:r>
            <w:r>
              <w:rPr>
                <w:rFonts w:hint="eastAsia" w:eastAsia="Times New Roman" w:cs="Times New Roman"/>
                <w:sz w:val="20"/>
                <w:szCs w:val="20"/>
                <w:highlight w:val="none"/>
                <w:lang w:val="en-US" w:eastAsia="zh-CN"/>
              </w:rPr>
              <w:t>27</w:t>
            </w:r>
            <w:r>
              <w:rPr>
                <w:rFonts w:hint="eastAsia" w:ascii="Times New Roman" w:hAnsi="Times New Roman" w:eastAsia="Times New Roman" w:cs="Times New Roman"/>
                <w:sz w:val="20"/>
                <w:szCs w:val="20"/>
                <w:highlight w:val="none"/>
                <w:lang w:val="en-US" w:eastAsia="zh-CN"/>
              </w:rPr>
              <w:t>日9时</w:t>
            </w:r>
          </w:p>
        </w:tc>
      </w:tr>
    </w:tbl>
    <w:p>
      <w:pPr>
        <w:pStyle w:val="4"/>
        <w:rPr>
          <w:rFonts w:hint="eastAsia" w:ascii="Times New Roman" w:hAnsi="Times New Roma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7216;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wG3K&#10;2QAAAA0BAAAPAAAAAAAAAAEAIAAAACIAAABkcnMvZG93bnJldi54bWxQSwECFAAUAAAACACHTuJA&#10;ezE46q4BAABwAwAADgAAAAAAAAABACAAAAAoAQAAZHJzL2Uyb0RvYy54bWxQSwUGAAAAAAYABgBZ&#10;AQAASAU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3E1725"/>
    <w:rsid w:val="02421D02"/>
    <w:rsid w:val="02D944DD"/>
    <w:rsid w:val="032B1553"/>
    <w:rsid w:val="038C1DF1"/>
    <w:rsid w:val="039F6E44"/>
    <w:rsid w:val="048A0C4C"/>
    <w:rsid w:val="04AA17FE"/>
    <w:rsid w:val="05E32E7C"/>
    <w:rsid w:val="05F54D6D"/>
    <w:rsid w:val="06247E21"/>
    <w:rsid w:val="067362EB"/>
    <w:rsid w:val="068117B6"/>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D1C6D"/>
    <w:rsid w:val="0CE4226E"/>
    <w:rsid w:val="0DAE7B73"/>
    <w:rsid w:val="0DD737A7"/>
    <w:rsid w:val="0DFD55A7"/>
    <w:rsid w:val="0E08400E"/>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78059F"/>
    <w:rsid w:val="13D04CD7"/>
    <w:rsid w:val="13DC2CB8"/>
    <w:rsid w:val="14221D35"/>
    <w:rsid w:val="142B1DB1"/>
    <w:rsid w:val="15173084"/>
    <w:rsid w:val="1582435D"/>
    <w:rsid w:val="15C97374"/>
    <w:rsid w:val="16451891"/>
    <w:rsid w:val="16586BE9"/>
    <w:rsid w:val="166F2BF1"/>
    <w:rsid w:val="169459EE"/>
    <w:rsid w:val="171E6442"/>
    <w:rsid w:val="1742267B"/>
    <w:rsid w:val="17874DAF"/>
    <w:rsid w:val="1794192C"/>
    <w:rsid w:val="17A4202A"/>
    <w:rsid w:val="17BD20FF"/>
    <w:rsid w:val="17EA1735"/>
    <w:rsid w:val="17EC7944"/>
    <w:rsid w:val="17FC1602"/>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A00D1"/>
    <w:rsid w:val="1B7347F4"/>
    <w:rsid w:val="1BB23779"/>
    <w:rsid w:val="1BDA0878"/>
    <w:rsid w:val="1BE73F47"/>
    <w:rsid w:val="1C024584"/>
    <w:rsid w:val="1C8F4B89"/>
    <w:rsid w:val="1C9A1178"/>
    <w:rsid w:val="1D064DF7"/>
    <w:rsid w:val="1D097D20"/>
    <w:rsid w:val="1D4D39AE"/>
    <w:rsid w:val="1D5C4003"/>
    <w:rsid w:val="1D6F464E"/>
    <w:rsid w:val="1D9E5A0C"/>
    <w:rsid w:val="1D9F5CDA"/>
    <w:rsid w:val="1E095370"/>
    <w:rsid w:val="1E220F0E"/>
    <w:rsid w:val="1E904230"/>
    <w:rsid w:val="1EA56328"/>
    <w:rsid w:val="1FB504FE"/>
    <w:rsid w:val="1FE77AEB"/>
    <w:rsid w:val="1FEA711F"/>
    <w:rsid w:val="1FFA383F"/>
    <w:rsid w:val="20081950"/>
    <w:rsid w:val="20671C22"/>
    <w:rsid w:val="207F541D"/>
    <w:rsid w:val="20851B07"/>
    <w:rsid w:val="20990B2A"/>
    <w:rsid w:val="20AB6596"/>
    <w:rsid w:val="20C90FB8"/>
    <w:rsid w:val="20FB3E37"/>
    <w:rsid w:val="21264E5A"/>
    <w:rsid w:val="22151CA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5B64DE"/>
    <w:rsid w:val="288E613F"/>
    <w:rsid w:val="288F3A27"/>
    <w:rsid w:val="28951D46"/>
    <w:rsid w:val="29721939"/>
    <w:rsid w:val="29E1316E"/>
    <w:rsid w:val="29F80FE7"/>
    <w:rsid w:val="2A492717"/>
    <w:rsid w:val="2A8D1AA1"/>
    <w:rsid w:val="2AC93E57"/>
    <w:rsid w:val="2AE47609"/>
    <w:rsid w:val="2B786E5A"/>
    <w:rsid w:val="2BDD32D1"/>
    <w:rsid w:val="2BE7051D"/>
    <w:rsid w:val="2C3B3035"/>
    <w:rsid w:val="2C4B24F8"/>
    <w:rsid w:val="2C8452BD"/>
    <w:rsid w:val="2C882001"/>
    <w:rsid w:val="2CB00876"/>
    <w:rsid w:val="2CD35376"/>
    <w:rsid w:val="2D4168DD"/>
    <w:rsid w:val="2D930E3D"/>
    <w:rsid w:val="2E134FFF"/>
    <w:rsid w:val="2EAC2783"/>
    <w:rsid w:val="2EDA6C9B"/>
    <w:rsid w:val="2F220213"/>
    <w:rsid w:val="2F442A87"/>
    <w:rsid w:val="2F6C6D41"/>
    <w:rsid w:val="2FA5215D"/>
    <w:rsid w:val="2FE853E7"/>
    <w:rsid w:val="2FF53957"/>
    <w:rsid w:val="2FF85F65"/>
    <w:rsid w:val="303845C1"/>
    <w:rsid w:val="306E2102"/>
    <w:rsid w:val="30731155"/>
    <w:rsid w:val="30F82569"/>
    <w:rsid w:val="31575D41"/>
    <w:rsid w:val="31885CBB"/>
    <w:rsid w:val="318C005A"/>
    <w:rsid w:val="31B372D4"/>
    <w:rsid w:val="31D86DCF"/>
    <w:rsid w:val="31DC5D9B"/>
    <w:rsid w:val="31EB11BF"/>
    <w:rsid w:val="32083D0C"/>
    <w:rsid w:val="32150B1E"/>
    <w:rsid w:val="33317857"/>
    <w:rsid w:val="334277A5"/>
    <w:rsid w:val="337563F9"/>
    <w:rsid w:val="337B0400"/>
    <w:rsid w:val="34013B56"/>
    <w:rsid w:val="342019D5"/>
    <w:rsid w:val="346C251E"/>
    <w:rsid w:val="34AB1BAC"/>
    <w:rsid w:val="358D16EC"/>
    <w:rsid w:val="35A767A8"/>
    <w:rsid w:val="35CC1B7F"/>
    <w:rsid w:val="36237854"/>
    <w:rsid w:val="36487787"/>
    <w:rsid w:val="36B32239"/>
    <w:rsid w:val="36B610CD"/>
    <w:rsid w:val="373F3F75"/>
    <w:rsid w:val="37721A4B"/>
    <w:rsid w:val="37723635"/>
    <w:rsid w:val="380F19DC"/>
    <w:rsid w:val="383718CB"/>
    <w:rsid w:val="385F0E68"/>
    <w:rsid w:val="386A7C63"/>
    <w:rsid w:val="388A6997"/>
    <w:rsid w:val="38912525"/>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741032"/>
    <w:rsid w:val="3E7B06C6"/>
    <w:rsid w:val="3E7F648D"/>
    <w:rsid w:val="3E844C32"/>
    <w:rsid w:val="3EBE4111"/>
    <w:rsid w:val="3EC318D5"/>
    <w:rsid w:val="3ECE5EF6"/>
    <w:rsid w:val="3F142B57"/>
    <w:rsid w:val="3F1A7FAA"/>
    <w:rsid w:val="3F3E0AB4"/>
    <w:rsid w:val="3F984213"/>
    <w:rsid w:val="3FA952A0"/>
    <w:rsid w:val="3FC93E3E"/>
    <w:rsid w:val="3FCC330C"/>
    <w:rsid w:val="3FFD5216"/>
    <w:rsid w:val="402B776A"/>
    <w:rsid w:val="40345054"/>
    <w:rsid w:val="40535D5B"/>
    <w:rsid w:val="406B30D4"/>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80F1ECA"/>
    <w:rsid w:val="48114111"/>
    <w:rsid w:val="48526CD7"/>
    <w:rsid w:val="48553C99"/>
    <w:rsid w:val="485F7432"/>
    <w:rsid w:val="486B4F45"/>
    <w:rsid w:val="487D6656"/>
    <w:rsid w:val="48841BE5"/>
    <w:rsid w:val="488A3AE1"/>
    <w:rsid w:val="48AA6498"/>
    <w:rsid w:val="48AD19E8"/>
    <w:rsid w:val="48BA7DF9"/>
    <w:rsid w:val="48E51899"/>
    <w:rsid w:val="49956A4F"/>
    <w:rsid w:val="49A1223D"/>
    <w:rsid w:val="4A4756D4"/>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045EAA"/>
    <w:rsid w:val="511901B3"/>
    <w:rsid w:val="52146C75"/>
    <w:rsid w:val="523577B2"/>
    <w:rsid w:val="52400BAA"/>
    <w:rsid w:val="52504441"/>
    <w:rsid w:val="52E1705F"/>
    <w:rsid w:val="52EC3EDC"/>
    <w:rsid w:val="52FE0D61"/>
    <w:rsid w:val="53151498"/>
    <w:rsid w:val="5316652D"/>
    <w:rsid w:val="53B134B9"/>
    <w:rsid w:val="53BD4A78"/>
    <w:rsid w:val="53D655ED"/>
    <w:rsid w:val="53D85335"/>
    <w:rsid w:val="53E125BE"/>
    <w:rsid w:val="541235D8"/>
    <w:rsid w:val="54CA1AED"/>
    <w:rsid w:val="55146BE0"/>
    <w:rsid w:val="55252947"/>
    <w:rsid w:val="5544476F"/>
    <w:rsid w:val="555E1E30"/>
    <w:rsid w:val="55A354FC"/>
    <w:rsid w:val="55BA0F7E"/>
    <w:rsid w:val="563411DE"/>
    <w:rsid w:val="573D0259"/>
    <w:rsid w:val="57874BC1"/>
    <w:rsid w:val="578A33CF"/>
    <w:rsid w:val="57FA6FE9"/>
    <w:rsid w:val="5807448D"/>
    <w:rsid w:val="581255D7"/>
    <w:rsid w:val="582012C9"/>
    <w:rsid w:val="58207AA3"/>
    <w:rsid w:val="582C6E15"/>
    <w:rsid w:val="587648D0"/>
    <w:rsid w:val="58A50EA8"/>
    <w:rsid w:val="58D008AE"/>
    <w:rsid w:val="58D278EC"/>
    <w:rsid w:val="58EA62B6"/>
    <w:rsid w:val="596F60AE"/>
    <w:rsid w:val="59B92E76"/>
    <w:rsid w:val="5A03106A"/>
    <w:rsid w:val="5A4F141A"/>
    <w:rsid w:val="5A9E0341"/>
    <w:rsid w:val="5ACE3B59"/>
    <w:rsid w:val="5B2F1EEB"/>
    <w:rsid w:val="5B302BC9"/>
    <w:rsid w:val="5B745643"/>
    <w:rsid w:val="5BA95BBD"/>
    <w:rsid w:val="5C263CAD"/>
    <w:rsid w:val="5C4B2E5B"/>
    <w:rsid w:val="5C8578BA"/>
    <w:rsid w:val="5D027E7E"/>
    <w:rsid w:val="5D2B48B4"/>
    <w:rsid w:val="5D844F05"/>
    <w:rsid w:val="5E70388B"/>
    <w:rsid w:val="5EC178AD"/>
    <w:rsid w:val="5ED83037"/>
    <w:rsid w:val="5F070F9B"/>
    <w:rsid w:val="5F220DF6"/>
    <w:rsid w:val="5F300F59"/>
    <w:rsid w:val="5F356E47"/>
    <w:rsid w:val="5FAE3AB2"/>
    <w:rsid w:val="5FCF5D35"/>
    <w:rsid w:val="60B91507"/>
    <w:rsid w:val="60D33ED8"/>
    <w:rsid w:val="61483DB4"/>
    <w:rsid w:val="616B0C9C"/>
    <w:rsid w:val="61F33579"/>
    <w:rsid w:val="621356A8"/>
    <w:rsid w:val="62215171"/>
    <w:rsid w:val="624B097D"/>
    <w:rsid w:val="62844F25"/>
    <w:rsid w:val="62C06BAA"/>
    <w:rsid w:val="63D6165B"/>
    <w:rsid w:val="64031DD3"/>
    <w:rsid w:val="64084C3D"/>
    <w:rsid w:val="642C6F40"/>
    <w:rsid w:val="645475E2"/>
    <w:rsid w:val="6455010A"/>
    <w:rsid w:val="646D6EAA"/>
    <w:rsid w:val="64C957CC"/>
    <w:rsid w:val="64E91D1B"/>
    <w:rsid w:val="6569254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916682"/>
    <w:rsid w:val="6BD924EC"/>
    <w:rsid w:val="6C826573"/>
    <w:rsid w:val="6C8919B8"/>
    <w:rsid w:val="6C9D1375"/>
    <w:rsid w:val="6CB92972"/>
    <w:rsid w:val="6CE76051"/>
    <w:rsid w:val="6DCF61FF"/>
    <w:rsid w:val="6E3755C1"/>
    <w:rsid w:val="6E640DD3"/>
    <w:rsid w:val="6E64260C"/>
    <w:rsid w:val="6E914841"/>
    <w:rsid w:val="6EB1052D"/>
    <w:rsid w:val="6EC317CE"/>
    <w:rsid w:val="6F4E6508"/>
    <w:rsid w:val="6F4F2037"/>
    <w:rsid w:val="6FA608C2"/>
    <w:rsid w:val="6FFF0469"/>
    <w:rsid w:val="701F7E35"/>
    <w:rsid w:val="704C3A50"/>
    <w:rsid w:val="70965651"/>
    <w:rsid w:val="70A14AF9"/>
    <w:rsid w:val="70A560EF"/>
    <w:rsid w:val="70AB4782"/>
    <w:rsid w:val="71576811"/>
    <w:rsid w:val="7165235D"/>
    <w:rsid w:val="716F460A"/>
    <w:rsid w:val="71BD016F"/>
    <w:rsid w:val="71CF0BED"/>
    <w:rsid w:val="71D66846"/>
    <w:rsid w:val="71E54E4B"/>
    <w:rsid w:val="723C3332"/>
    <w:rsid w:val="7252271D"/>
    <w:rsid w:val="726873F0"/>
    <w:rsid w:val="727B46BA"/>
    <w:rsid w:val="729D59B3"/>
    <w:rsid w:val="7313238C"/>
    <w:rsid w:val="731759FD"/>
    <w:rsid w:val="73234316"/>
    <w:rsid w:val="734164C7"/>
    <w:rsid w:val="735A62E0"/>
    <w:rsid w:val="74611F35"/>
    <w:rsid w:val="74645702"/>
    <w:rsid w:val="746E7275"/>
    <w:rsid w:val="74D80B53"/>
    <w:rsid w:val="751A7E63"/>
    <w:rsid w:val="75400B60"/>
    <w:rsid w:val="754A20F0"/>
    <w:rsid w:val="7558335C"/>
    <w:rsid w:val="756562E8"/>
    <w:rsid w:val="759A405B"/>
    <w:rsid w:val="76406DC8"/>
    <w:rsid w:val="76AC6A44"/>
    <w:rsid w:val="76B040EE"/>
    <w:rsid w:val="76DB3663"/>
    <w:rsid w:val="778B6418"/>
    <w:rsid w:val="779A0D22"/>
    <w:rsid w:val="7872306D"/>
    <w:rsid w:val="78AB2481"/>
    <w:rsid w:val="78B13FE2"/>
    <w:rsid w:val="78C863CB"/>
    <w:rsid w:val="792B6181"/>
    <w:rsid w:val="79F43DA8"/>
    <w:rsid w:val="7A3B2D26"/>
    <w:rsid w:val="7A404208"/>
    <w:rsid w:val="7A436452"/>
    <w:rsid w:val="7A6A3136"/>
    <w:rsid w:val="7A9439F5"/>
    <w:rsid w:val="7AFD1570"/>
    <w:rsid w:val="7B134572"/>
    <w:rsid w:val="7B4B064C"/>
    <w:rsid w:val="7B6E62FB"/>
    <w:rsid w:val="7C187EC4"/>
    <w:rsid w:val="7C3507CF"/>
    <w:rsid w:val="7CDB5FF9"/>
    <w:rsid w:val="7CEC0651"/>
    <w:rsid w:val="7D4A7AE5"/>
    <w:rsid w:val="7D586692"/>
    <w:rsid w:val="7D810E5F"/>
    <w:rsid w:val="7D84768B"/>
    <w:rsid w:val="7DD86538"/>
    <w:rsid w:val="7E0D600E"/>
    <w:rsid w:val="7E2C0DEA"/>
    <w:rsid w:val="7E2D0B3F"/>
    <w:rsid w:val="7E341C7F"/>
    <w:rsid w:val="7E8B6D03"/>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customStyle="1" w:styleId="21">
    <w:name w:val="批注文字 New New"/>
    <w:basedOn w:val="1"/>
    <w:qFormat/>
    <w:uiPriority w:val="0"/>
    <w:pPr>
      <w:jc w:val="left"/>
    </w:pPr>
    <w:rPr>
      <w:szCs w:val="20"/>
    </w:rPr>
  </w:style>
  <w:style w:type="character" w:customStyle="1" w:styleId="22">
    <w:name w:val="页眉 Char"/>
    <w:basedOn w:val="11"/>
    <w:link w:val="8"/>
    <w:semiHidden/>
    <w:qFormat/>
    <w:uiPriority w:val="99"/>
    <w:rPr>
      <w:rFonts w:ascii="Times New Roman" w:hAnsi="Times New Roman" w:eastAsia="宋体" w:cs="Times New Roman"/>
      <w:sz w:val="18"/>
      <w:szCs w:val="18"/>
    </w:rPr>
  </w:style>
  <w:style w:type="character" w:customStyle="1" w:styleId="23">
    <w:name w:val="页脚 Char"/>
    <w:basedOn w:val="11"/>
    <w:link w:val="7"/>
    <w:qFormat/>
    <w:uiPriority w:val="99"/>
    <w:rPr>
      <w:rFonts w:ascii="Times New Roman" w:hAnsi="Times New Roman" w:eastAsia="宋体" w:cs="Times New Roman"/>
      <w:sz w:val="18"/>
      <w:szCs w:val="18"/>
    </w:rPr>
  </w:style>
  <w:style w:type="paragraph" w:customStyle="1" w:styleId="2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actspan"/>
    <w:basedOn w:val="11"/>
    <w:qFormat/>
    <w:uiPriority w:val="0"/>
  </w:style>
  <w:style w:type="character" w:customStyle="1" w:styleId="27">
    <w:name w:val="layui-layer-tabnow"/>
    <w:basedOn w:val="11"/>
    <w:qFormat/>
    <w:uiPriority w:val="0"/>
    <w:rPr>
      <w:bdr w:val="single" w:color="CCCCCC" w:sz="6" w:space="0"/>
      <w:shd w:val="clear" w:fill="FFFFFF"/>
    </w:rPr>
  </w:style>
  <w:style w:type="character" w:customStyle="1" w:styleId="28">
    <w:name w:val="first-child"/>
    <w:basedOn w:val="11"/>
    <w:qFormat/>
    <w:uiPriority w:val="0"/>
  </w:style>
  <w:style w:type="paragraph" w:customStyle="1" w:styleId="29">
    <w:name w:val="我的正文"/>
    <w:basedOn w:val="30"/>
    <w:qFormat/>
    <w:uiPriority w:val="0"/>
    <w:pPr>
      <w:spacing w:line="560" w:lineRule="exact"/>
      <w:ind w:firstLine="200" w:firstLineChars="200"/>
    </w:pPr>
    <w:rPr>
      <w:rFonts w:eastAsia="仿宋_GB2312"/>
      <w:sz w:val="32"/>
      <w:szCs w:val="32"/>
    </w:rPr>
  </w:style>
  <w:style w:type="paragraph" w:customStyle="1" w:styleId="30">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1">
    <w:name w:val="actspan2"/>
    <w:basedOn w:val="11"/>
    <w:qFormat/>
    <w:uiPriority w:val="0"/>
  </w:style>
  <w:style w:type="paragraph" w:customStyle="1" w:styleId="32">
    <w:name w:val="p0"/>
    <w:basedOn w:val="1"/>
    <w:qFormat/>
    <w:uiPriority w:val="0"/>
    <w:pPr>
      <w:widowControl/>
    </w:pPr>
    <w:rPr>
      <w:kern w:val="0"/>
      <w:szCs w:val="21"/>
    </w:rPr>
  </w:style>
  <w:style w:type="paragraph" w:customStyle="1" w:styleId="3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4">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5">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6">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7">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3368</Words>
  <Characters>3725</Characters>
  <Lines>27</Lines>
  <Paragraphs>7</Paragraphs>
  <TotalTime>0</TotalTime>
  <ScaleCrop>false</ScaleCrop>
  <LinksUpToDate>false</LinksUpToDate>
  <CharactersWithSpaces>3796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2022-09-08T08:24:00Z</cp:lastPrinted>
  <dcterms:modified xsi:type="dcterms:W3CDTF">2023-02-20T12:30:19Z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7A1C00D4DC894610A06B023E0737C3EE</vt:lpwstr>
  </property>
</Properties>
</file>